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eastAsia="zh-CN"/>
        </w:rPr>
      </w:pPr>
      <w:r>
        <w:rPr>
          <w:rFonts w:hint="eastAsia"/>
          <w:sz w:val="44"/>
          <w:szCs w:val="44"/>
          <w:lang w:eastAsia="zh-CN"/>
        </w:rPr>
        <w:t>森林、草原植被恢复费详情</w:t>
      </w:r>
    </w:p>
    <w:tbl>
      <w:tblPr>
        <w:tblStyle w:val="5"/>
        <w:tblW w:w="980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5" w:type="dxa"/>
            <w:gridSpan w:val="2"/>
          </w:tcPr>
          <w:p>
            <w:pPr>
              <w:jc w:val="center"/>
              <w:rPr>
                <w:rFonts w:hint="eastAsia"/>
                <w:vertAlign w:val="baseline"/>
                <w:lang w:eastAsia="zh-CN"/>
              </w:rPr>
            </w:pPr>
            <w:r>
              <w:rPr>
                <w:rFonts w:hint="eastAsia"/>
                <w:vertAlign w:val="baseline"/>
                <w:lang w:eastAsia="zh-CN"/>
              </w:rPr>
              <w:t>森林、草原植被恢复费项目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1555" w:type="dxa"/>
          </w:tcPr>
          <w:p>
            <w:pPr>
              <w:rPr>
                <w:rFonts w:hint="eastAsia"/>
                <w:vertAlign w:val="baseline"/>
                <w:lang w:eastAsia="zh-CN"/>
              </w:rPr>
            </w:pPr>
            <w:r>
              <w:rPr>
                <w:rFonts w:hint="eastAsia"/>
                <w:vertAlign w:val="baseline"/>
                <w:lang w:eastAsia="zh-CN"/>
              </w:rPr>
              <w:t>收费标准</w:t>
            </w:r>
          </w:p>
        </w:tc>
        <w:tc>
          <w:tcPr>
            <w:tcW w:w="8250" w:type="dxa"/>
          </w:tcPr>
          <w:p>
            <w:pPr>
              <w:rPr>
                <w:rFonts w:hint="eastAsia"/>
                <w:lang w:eastAsia="zh-CN"/>
              </w:rPr>
            </w:pPr>
            <w:r>
              <w:rPr>
                <w:rFonts w:hint="eastAsia"/>
                <w:lang w:eastAsia="zh-CN"/>
              </w:rPr>
              <w:t>（一）郁闭度 0.2 以上的乔木林地（含采伐迹地、火烧迹地）、竹林地、苗圃地，每平方米 10 元；灌木林地、疏林地、未成林造林地，每平方米 6 元；宜林地，每平方米 3 元。</w:t>
            </w:r>
          </w:p>
          <w:p>
            <w:pPr>
              <w:rPr>
                <w:rFonts w:hint="default"/>
                <w:lang w:eastAsia="zh-CN"/>
              </w:rPr>
            </w:pPr>
            <w:r>
              <w:rPr>
                <w:rFonts w:hint="eastAsia"/>
                <w:lang w:eastAsia="zh-CN"/>
              </w:rPr>
              <w:t>（二）国家和省级公益林林地，按照第（一）款规定征收标准 2 倍征收。</w:t>
            </w:r>
          </w:p>
          <w:p>
            <w:pPr>
              <w:rPr>
                <w:rFonts w:hint="default"/>
                <w:lang w:eastAsia="zh-CN"/>
              </w:rPr>
            </w:pPr>
            <w:r>
              <w:rPr>
                <w:rFonts w:hint="eastAsia"/>
                <w:lang w:eastAsia="zh-CN"/>
              </w:rPr>
              <w:t>（三）城市规划区的林地，按照第（一）、（二）款规定征收标准 2 倍征收。</w:t>
            </w:r>
          </w:p>
          <w:p>
            <w:pPr>
              <w:rPr>
                <w:rFonts w:hint="eastAsia"/>
                <w:vertAlign w:val="baseline"/>
                <w:lang w:eastAsia="zh-CN"/>
              </w:rPr>
            </w:pPr>
            <w:r>
              <w:rPr>
                <w:rFonts w:hint="eastAsia"/>
                <w:lang w:eastAsia="zh-CN"/>
              </w:rPr>
              <w:t>（四）城市规划区外的林地，按占用征收林地建设项目性质实行不同征收标准。属于公共基础设施、公共事业和国防建设项目的，按照第（一）、（二）款规定征收标准征收；属于经营性建设项目的，按照第（一）、（二）款规定征收标准 2 倍征收。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vertAlign w:val="baseline"/>
                <w:lang w:eastAsia="zh-CN"/>
              </w:rPr>
            </w:pPr>
            <w:r>
              <w:rPr>
                <w:rFonts w:hint="eastAsia"/>
                <w:vertAlign w:val="baseline"/>
                <w:lang w:eastAsia="zh-CN"/>
              </w:rPr>
              <w:t>收费主体</w:t>
            </w:r>
          </w:p>
        </w:tc>
        <w:tc>
          <w:tcPr>
            <w:tcW w:w="8250" w:type="dxa"/>
          </w:tcPr>
          <w:p>
            <w:pPr>
              <w:rPr>
                <w:rFonts w:hint="eastAsia"/>
                <w:vertAlign w:val="baseline"/>
                <w:lang w:eastAsia="zh-CN"/>
              </w:rPr>
            </w:pPr>
            <w:r>
              <w:rPr>
                <w:rFonts w:hint="eastAsia"/>
                <w:vertAlign w:val="baseline"/>
                <w:lang w:eastAsia="zh-CN"/>
              </w:rPr>
              <w:t>农村工作局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vertAlign w:val="baseline"/>
                <w:lang w:eastAsia="zh-CN"/>
              </w:rPr>
            </w:pPr>
            <w:r>
              <w:rPr>
                <w:rFonts w:hint="eastAsia"/>
                <w:vertAlign w:val="baseline"/>
                <w:lang w:eastAsia="zh-CN"/>
              </w:rPr>
              <w:t>计费单位</w:t>
            </w:r>
          </w:p>
        </w:tc>
        <w:tc>
          <w:tcPr>
            <w:tcW w:w="8250" w:type="dxa"/>
          </w:tcPr>
          <w:p>
            <w:pPr>
              <w:rPr>
                <w:rFonts w:hint="eastAsia"/>
                <w:vertAlign w:val="baseline"/>
                <w:lang w:eastAsia="zh-CN"/>
              </w:rPr>
            </w:pPr>
            <w:r>
              <w:rPr>
                <w:rFonts w:hint="eastAsia"/>
                <w:vertAlign w:val="baseline"/>
                <w:lang w:eastAsia="zh-CN"/>
              </w:rPr>
              <w:t>平方米</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vertAlign w:val="baseline"/>
                <w:lang w:eastAsia="zh-CN"/>
              </w:rPr>
            </w:pPr>
            <w:r>
              <w:rPr>
                <w:rFonts w:hint="eastAsia"/>
                <w:vertAlign w:val="baseline"/>
                <w:lang w:eastAsia="zh-CN"/>
              </w:rPr>
              <w:t>收费依据</w:t>
            </w:r>
          </w:p>
        </w:tc>
        <w:tc>
          <w:tcPr>
            <w:tcW w:w="8250"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vertAlign w:val="baseline"/>
                <w:lang w:eastAsia="zh-CN"/>
              </w:rPr>
            </w:pPr>
            <w:r>
              <w:rPr>
                <w:rFonts w:hint="eastAsia" w:asciiTheme="minorHAnsi" w:hAnsiTheme="minorHAnsi" w:eastAsiaTheme="minorEastAsia" w:cstheme="minorBidi"/>
                <w:b w:val="0"/>
                <w:bCs w:val="0"/>
                <w:kern w:val="2"/>
                <w:sz w:val="21"/>
                <w:szCs w:val="24"/>
                <w:lang w:val="en-US" w:eastAsia="zh-CN" w:bidi="ar-SA"/>
              </w:rPr>
              <w:t>《森林植被恢复费征收使用管理暂行办法》《河北省财政厅河北省林业厅关于调整森林植被恢复费征收标准的通知》（冀财税〔2016〕25 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1555" w:type="dxa"/>
          </w:tcPr>
          <w:p>
            <w:pPr>
              <w:rPr>
                <w:rFonts w:hint="eastAsia"/>
                <w:vertAlign w:val="baseline"/>
                <w:lang w:eastAsia="zh-CN"/>
              </w:rPr>
            </w:pPr>
            <w:r>
              <w:rPr>
                <w:rFonts w:hint="eastAsia"/>
                <w:vertAlign w:val="baseline"/>
                <w:lang w:eastAsia="zh-CN"/>
              </w:rPr>
              <w:t>收费范围</w:t>
            </w:r>
          </w:p>
        </w:tc>
        <w:tc>
          <w:tcPr>
            <w:tcW w:w="8250" w:type="dxa"/>
          </w:tcPr>
          <w:p>
            <w:pPr>
              <w:rPr>
                <w:rFonts w:hint="default"/>
                <w:lang w:eastAsia="zh-CN"/>
              </w:rPr>
            </w:pPr>
            <w:r>
              <w:rPr>
                <w:rFonts w:hint="eastAsia"/>
                <w:lang w:eastAsia="zh-CN"/>
              </w:rPr>
              <w:t>公共基础设施建设项目包括：公路、铁路、机场、港口码头、水利、电力、通讯、能源基地、电网、油气管网等建设项目。公共事业建设项目包括：教育、科技、文化、卫生、体育、环境和资源保护、防灾减灾、文物保护、社会福利、市政公用等建设项目。经营性建设项目包括：商业、服务业、工矿业、仓储、城镇住宅、旅游开发、养殖、经营性墓地等建设项目。</w:t>
            </w:r>
          </w:p>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vertAlign w:val="baseline"/>
                <w:lang w:eastAsia="zh-CN"/>
              </w:rPr>
            </w:pPr>
            <w:r>
              <w:rPr>
                <w:rFonts w:hint="eastAsia"/>
                <w:vertAlign w:val="baseline"/>
                <w:lang w:eastAsia="zh-CN"/>
              </w:rPr>
              <w:t>收费对象</w:t>
            </w:r>
          </w:p>
        </w:tc>
        <w:tc>
          <w:tcPr>
            <w:tcW w:w="8250" w:type="dxa"/>
          </w:tcPr>
          <w:p>
            <w:pPr>
              <w:rPr>
                <w:rFonts w:hint="eastAsia"/>
                <w:vertAlign w:val="baseline"/>
                <w:lang w:eastAsia="zh-CN"/>
              </w:rPr>
            </w:pPr>
            <w:r>
              <w:rPr>
                <w:rFonts w:hint="eastAsia"/>
                <w:vertAlign w:val="baseline"/>
                <w:lang w:eastAsia="zh-CN"/>
              </w:rPr>
              <w:t>各征占用草原、林地单位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1" w:hRule="atLeast"/>
        </w:trPr>
        <w:tc>
          <w:tcPr>
            <w:tcW w:w="1555" w:type="dxa"/>
          </w:tcPr>
          <w:p>
            <w:pPr>
              <w:rPr>
                <w:rFonts w:hint="eastAsia"/>
                <w:vertAlign w:val="baseline"/>
                <w:lang w:eastAsia="zh-CN"/>
              </w:rPr>
            </w:pPr>
            <w:r>
              <w:rPr>
                <w:rFonts w:hint="eastAsia"/>
                <w:vertAlign w:val="baseline"/>
                <w:lang w:eastAsia="zh-CN"/>
              </w:rPr>
              <w:t>征收方式</w:t>
            </w:r>
          </w:p>
        </w:tc>
        <w:tc>
          <w:tcPr>
            <w:tcW w:w="8250" w:type="dxa"/>
          </w:tcPr>
          <w:p>
            <w:pPr>
              <w:rPr>
                <w:rFonts w:hint="eastAsia"/>
                <w:lang w:eastAsia="zh-CN"/>
              </w:rPr>
            </w:pPr>
            <w:r>
              <w:rPr>
                <w:rFonts w:hint="default"/>
                <w:lang w:eastAsia="zh-CN"/>
              </w:rPr>
              <w:t>一、线下办理-办税服务厅</w:t>
            </w:r>
          </w:p>
          <w:p>
            <w:pPr>
              <w:rPr>
                <w:rFonts w:hint="default"/>
                <w:lang w:eastAsia="zh-CN"/>
              </w:rPr>
            </w:pPr>
            <w:r>
              <w:rPr>
                <w:rFonts w:hint="default"/>
                <w:lang w:eastAsia="zh-CN"/>
              </w:rPr>
              <w:t>1.缴费人需携带《非税收入缴款通知单》等材料到办税服务厅窗口进行缴费。</w:t>
            </w:r>
          </w:p>
          <w:p>
            <w:pPr>
              <w:rPr>
                <w:rFonts w:hint="default"/>
                <w:lang w:eastAsia="zh-CN"/>
              </w:rPr>
            </w:pPr>
            <w:r>
              <w:rPr>
                <w:rFonts w:hint="default"/>
                <w:lang w:eastAsia="zh-CN"/>
              </w:rPr>
              <w:t>2.办税服务厅“一窗通办岗”按照《非税收入缴款通知单》等录入费源信息，在征收系统中进行申报和缴费。</w:t>
            </w:r>
          </w:p>
          <w:p>
            <w:pPr>
              <w:rPr>
                <w:rFonts w:hint="default"/>
                <w:lang w:eastAsia="zh-CN"/>
              </w:rPr>
            </w:pPr>
            <w:r>
              <w:rPr>
                <w:rFonts w:hint="default"/>
                <w:lang w:eastAsia="zh-CN"/>
              </w:rPr>
              <w:t>3.缴费人通过POS刷卡或财税银三方协议扣款方式，缴纳林草两费。</w:t>
            </w:r>
          </w:p>
          <w:p>
            <w:pPr>
              <w:rPr>
                <w:rFonts w:hint="default"/>
                <w:lang w:eastAsia="zh-CN"/>
              </w:rPr>
            </w:pPr>
            <w:r>
              <w:rPr>
                <w:rFonts w:hint="default"/>
                <w:lang w:eastAsia="zh-CN"/>
              </w:rPr>
              <w:t>4.缴费成功后，办税服务厅人员从系统中打印《中央非税收入统一票据》，缴费人完成线下缴费。</w:t>
            </w:r>
          </w:p>
          <w:p>
            <w:pPr>
              <w:rPr>
                <w:rFonts w:hint="default"/>
                <w:lang w:eastAsia="zh-CN"/>
              </w:rPr>
            </w:pPr>
            <w:r>
              <w:rPr>
                <w:rFonts w:hint="default"/>
                <w:lang w:eastAsia="zh-CN"/>
              </w:rPr>
              <w:t>二、线上办理-河北省电子税务局</w:t>
            </w:r>
          </w:p>
          <w:p>
            <w:pPr>
              <w:rPr>
                <w:rFonts w:hint="default"/>
                <w:lang w:eastAsia="zh-CN"/>
              </w:rPr>
            </w:pPr>
            <w:r>
              <w:rPr>
                <w:rFonts w:hint="default"/>
                <w:lang w:eastAsia="zh-CN"/>
              </w:rPr>
              <w:t>登录国家税务总局河北省电子税务局</w:t>
            </w:r>
          </w:p>
          <w:p>
            <w:pPr>
              <w:rPr>
                <w:rFonts w:hint="default"/>
                <w:lang w:eastAsia="zh-CN"/>
              </w:rPr>
            </w:pPr>
            <w:r>
              <w:rPr>
                <w:rFonts w:hint="default"/>
                <w:lang w:eastAsia="zh-CN"/>
              </w:rPr>
              <w:t>（http://hebei.chinatax.gov.cn/hbsw/）</w:t>
            </w:r>
          </w:p>
          <w:p>
            <w:pPr>
              <w:rPr>
                <w:rFonts w:hint="default"/>
                <w:lang w:eastAsia="zh-CN"/>
              </w:rPr>
            </w:pPr>
            <w:r>
              <w:rPr>
                <w:rFonts w:hint="default"/>
                <w:lang w:eastAsia="zh-CN"/>
              </w:rPr>
              <w:t>1.【我要办税】-【税费申报及缴纳】-【其他申报】-【非税收入通用申报表】</w:t>
            </w:r>
          </w:p>
          <w:p>
            <w:pPr>
              <w:rPr>
                <w:rFonts w:hint="eastAsia"/>
                <w:lang w:eastAsia="zh-CN"/>
              </w:rPr>
            </w:pPr>
            <w:r>
              <w:rPr>
                <w:rFonts w:hint="eastAsia"/>
                <w:lang w:eastAsia="zh-CN"/>
              </w:rPr>
              <w:t>2.</w:t>
            </w:r>
            <w:r>
              <w:rPr>
                <w:rFonts w:hint="default"/>
                <w:lang w:eastAsia="zh-CN"/>
              </w:rPr>
              <w:t>【非税收入通用申报表】-【按次申报】-【系统自动接收核定的数据】-【查看详细缴费信息】</w:t>
            </w:r>
            <w:r>
              <w:rPr>
                <w:rFonts w:hint="eastAsia"/>
                <w:lang w:eastAsia="zh-CN"/>
              </w:rPr>
              <w:t>.</w:t>
            </w:r>
            <w:r>
              <w:rPr>
                <w:rFonts w:hint="default"/>
                <w:lang w:eastAsia="zh-CN"/>
              </w:rPr>
              <w:t>3.【申报】-【税费缴纳】-【未缴税费】-【三方协议扣款】</w:t>
            </w:r>
          </w:p>
          <w:p>
            <w:pPr>
              <w:rPr>
                <w:rFonts w:hint="eastAsia"/>
                <w:lang w:eastAsia="zh-CN"/>
              </w:rPr>
            </w:pPr>
            <w:r>
              <w:rPr>
                <w:rFonts w:hint="default"/>
                <w:lang w:eastAsia="zh-CN"/>
              </w:rPr>
              <w:t>4.【证明开具】-【中央非税收入统一票据】-【查看】-【下载】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555" w:type="dxa"/>
          </w:tcPr>
          <w:p>
            <w:pPr>
              <w:rPr>
                <w:rFonts w:hint="eastAsia"/>
                <w:vertAlign w:val="baseline"/>
                <w:lang w:eastAsia="zh-CN"/>
              </w:rPr>
            </w:pPr>
            <w:r>
              <w:rPr>
                <w:rFonts w:hint="eastAsia"/>
                <w:vertAlign w:val="baseline"/>
                <w:lang w:eastAsia="zh-CN"/>
              </w:rPr>
              <w:t>减免规定</w:t>
            </w:r>
          </w:p>
        </w:tc>
        <w:tc>
          <w:tcPr>
            <w:tcW w:w="8250" w:type="dxa"/>
          </w:tcPr>
          <w:p>
            <w:pPr>
              <w:rPr>
                <w:rFonts w:hint="default"/>
                <w:lang w:eastAsia="zh-CN"/>
              </w:rPr>
            </w:pPr>
            <w:r>
              <w:rPr>
                <w:rFonts w:hint="eastAsia" w:cstheme="minorBidi"/>
                <w:b w:val="0"/>
                <w:bCs w:val="0"/>
                <w:kern w:val="2"/>
                <w:sz w:val="21"/>
                <w:szCs w:val="24"/>
                <w:lang w:val="en-US" w:eastAsia="zh-CN" w:bidi="ar-SA"/>
              </w:rPr>
              <w:t>根据</w:t>
            </w:r>
            <w:r>
              <w:rPr>
                <w:rFonts w:hint="eastAsia" w:asciiTheme="minorHAnsi" w:hAnsiTheme="minorHAnsi" w:eastAsiaTheme="minorEastAsia" w:cstheme="minorBidi"/>
                <w:b w:val="0"/>
                <w:bCs w:val="0"/>
                <w:kern w:val="2"/>
                <w:sz w:val="21"/>
                <w:szCs w:val="24"/>
                <w:lang w:val="en-US" w:eastAsia="zh-CN" w:bidi="ar-SA"/>
              </w:rPr>
              <w:t>《河北省财政厅河北省林业厅关于调整森林植被恢复费征收标准的通知》（冀财税〔2016〕25 号 ）</w:t>
            </w:r>
            <w:r>
              <w:rPr>
                <w:rFonts w:hint="eastAsia"/>
                <w:lang w:eastAsia="zh-CN"/>
              </w:rPr>
              <w:t>免征森林植被恢复费情形如下：</w:t>
            </w:r>
          </w:p>
          <w:p>
            <w:pPr>
              <w:rPr>
                <w:rFonts w:hint="eastAsia"/>
                <w:lang w:eastAsia="zh-CN"/>
              </w:rPr>
            </w:pPr>
            <w:r>
              <w:rPr>
                <w:rFonts w:hint="eastAsia"/>
                <w:lang w:eastAsia="zh-CN"/>
              </w:rPr>
              <w:t>1.农村居民按规定标准建设住宅。</w:t>
            </w:r>
          </w:p>
          <w:p>
            <w:pPr>
              <w:rPr>
                <w:rFonts w:hint="eastAsia"/>
                <w:lang w:eastAsia="zh-CN"/>
              </w:rPr>
            </w:pPr>
            <w:r>
              <w:rPr>
                <w:rFonts w:hint="eastAsia"/>
                <w:lang w:eastAsia="zh-CN"/>
              </w:rPr>
              <w:t>2.农村集体经济组织修建乡村道路、学校、幼儿园、敬老院、福利院、卫生院等社会公益项目以及保障性安居工程。</w:t>
            </w:r>
          </w:p>
          <w:p>
            <w:pPr>
              <w:rPr>
                <w:rFonts w:hint="eastAsia"/>
                <w:lang w:eastAsia="zh-CN"/>
              </w:rPr>
            </w:pPr>
            <w:r>
              <w:rPr>
                <w:rFonts w:hint="eastAsia"/>
                <w:lang w:eastAsia="zh-CN"/>
              </w:rPr>
              <w:t>3.法律、法规规定减免森林植被恢复费的，从其规定。</w:t>
            </w:r>
          </w:p>
          <w:p>
            <w:pP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vertAlign w:val="baseline"/>
                <w:lang w:eastAsia="zh-CN"/>
              </w:rPr>
            </w:pPr>
            <w:r>
              <w:rPr>
                <w:rFonts w:hint="eastAsia"/>
                <w:vertAlign w:val="baseline"/>
                <w:lang w:eastAsia="zh-CN"/>
              </w:rPr>
              <w:t>监督举报电话</w:t>
            </w:r>
          </w:p>
        </w:tc>
        <w:tc>
          <w:tcPr>
            <w:tcW w:w="8250" w:type="dxa"/>
          </w:tcPr>
          <w:p>
            <w:pPr>
              <w:rPr>
                <w:rFonts w:hint="default"/>
                <w:vertAlign w:val="baseline"/>
                <w:lang w:val="en-US" w:eastAsia="zh-CN"/>
              </w:rPr>
            </w:pPr>
            <w:r>
              <w:rPr>
                <w:rFonts w:hint="eastAsia"/>
                <w:vertAlign w:val="baseline"/>
                <w:lang w:val="en-US" w:eastAsia="zh-CN"/>
              </w:rPr>
              <w:t>0335-3926215</w:t>
            </w: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OTQ0YTU3ZGRkMmUyZWUxOTA2ZjQzOWI4YTU2YTQifQ=="/>
    <w:docVar w:name="KSO_WPS_MARK_KEY" w:val="8af10723-49e3-4457-b6e6-687eb519f8c4"/>
  </w:docVars>
  <w:rsids>
    <w:rsidRoot w:val="128D0E95"/>
    <w:rsid w:val="128D0E95"/>
    <w:rsid w:val="29F60006"/>
    <w:rsid w:val="4D136943"/>
    <w:rsid w:val="7630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1252</Words>
  <Characters>1322</Characters>
  <Lines>0</Lines>
  <Paragraphs>0</Paragraphs>
  <TotalTime>0</TotalTime>
  <ScaleCrop>false</ScaleCrop>
  <LinksUpToDate>false</LinksUpToDate>
  <CharactersWithSpaces>1342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2023-02-28T06:26:00Z</dcterms:created>
  <dc:creator>小儒</dc:creator>
  <cp:lastModifiedBy>小儒</cp:lastModifiedBy>
  <dcterms:modified xsi:type="dcterms:W3CDTF">2023-03-01T08:19:59Z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DF44F6BA7B854E7D84DB4E5C56506D3A</vt:lpwstr>
  </property>
</Properties>
</file>