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pacing w:val="-20"/>
          <w:w w:val="66"/>
          <w:sz w:val="90"/>
          <w:szCs w:val="90"/>
        </w:rPr>
      </w:pPr>
      <w:r>
        <w:rPr>
          <w:rFonts w:hint="eastAsia" w:hAnsi="宋体"/>
          <w:b/>
          <w:spacing w:val="-20"/>
          <w:w w:val="66"/>
          <w:sz w:val="90"/>
          <w:szCs w:val="90"/>
        </w:rPr>
        <w:t>秦皇岛出口加工区管理委员会部门</w:t>
      </w:r>
    </w:p>
    <w:p>
      <w:pPr>
        <w:jc w:val="center"/>
        <w:rPr>
          <w:b/>
          <w:spacing w:val="-20"/>
          <w:w w:val="66"/>
          <w:sz w:val="90"/>
          <w:szCs w:val="90"/>
        </w:rPr>
      </w:pPr>
      <w:r>
        <w:rPr>
          <w:b/>
          <w:spacing w:val="-20"/>
          <w:w w:val="66"/>
          <w:sz w:val="90"/>
          <w:szCs w:val="90"/>
        </w:rPr>
        <w:t>201</w:t>
      </w:r>
      <w:r>
        <w:rPr>
          <w:rFonts w:hint="eastAsia"/>
          <w:b/>
          <w:spacing w:val="-20"/>
          <w:w w:val="66"/>
          <w:sz w:val="90"/>
          <w:szCs w:val="90"/>
        </w:rPr>
        <w:t>9</w:t>
      </w:r>
      <w:r>
        <w:rPr>
          <w:rFonts w:hAnsi="宋体"/>
          <w:b/>
          <w:spacing w:val="-20"/>
          <w:w w:val="66"/>
          <w:sz w:val="90"/>
          <w:szCs w:val="90"/>
        </w:rPr>
        <w:t>年</w:t>
      </w:r>
      <w:r>
        <w:rPr>
          <w:rFonts w:hint="eastAsia" w:hAnsi="宋体"/>
          <w:b/>
          <w:spacing w:val="-20"/>
          <w:w w:val="66"/>
          <w:sz w:val="90"/>
          <w:szCs w:val="90"/>
        </w:rPr>
        <w:t>预算公开</w:t>
      </w:r>
    </w:p>
    <w:p>
      <w:pPr>
        <w:jc w:val="center"/>
        <w:rPr>
          <w:b/>
          <w:spacing w:val="-20"/>
          <w:w w:val="66"/>
          <w:sz w:val="90"/>
          <w:szCs w:val="90"/>
        </w:rPr>
      </w:pPr>
    </w:p>
    <w:p>
      <w:pPr>
        <w:jc w:val="center"/>
        <w:rPr>
          <w:b/>
          <w:spacing w:val="-20"/>
          <w:w w:val="66"/>
          <w:sz w:val="90"/>
          <w:szCs w:val="90"/>
        </w:rPr>
      </w:pPr>
    </w:p>
    <w:p>
      <w:pPr>
        <w:jc w:val="center"/>
        <w:rPr>
          <w:b/>
          <w:spacing w:val="-20"/>
          <w:w w:val="66"/>
          <w:sz w:val="90"/>
          <w:szCs w:val="90"/>
        </w:rPr>
      </w:pPr>
    </w:p>
    <w:p>
      <w:pPr>
        <w:jc w:val="center"/>
        <w:rPr>
          <w:b/>
          <w:sz w:val="44"/>
          <w:szCs w:val="44"/>
        </w:rPr>
      </w:pPr>
      <w:r>
        <w:rPr>
          <w:rFonts w:hAnsi="宋体"/>
          <w:b/>
          <w:sz w:val="44"/>
          <w:szCs w:val="44"/>
        </w:rPr>
        <w:t>二</w:t>
      </w:r>
      <w:r>
        <w:rPr>
          <w:rFonts w:ascii="宋体" w:hAnsi="宋体"/>
          <w:b/>
          <w:sz w:val="44"/>
          <w:szCs w:val="44"/>
        </w:rPr>
        <w:t>○</w:t>
      </w:r>
      <w:r>
        <w:rPr>
          <w:rFonts w:hAnsi="宋体"/>
          <w:b/>
          <w:sz w:val="44"/>
          <w:szCs w:val="44"/>
        </w:rPr>
        <w:t>一</w:t>
      </w:r>
      <w:r>
        <w:rPr>
          <w:rFonts w:hint="eastAsia" w:hAnsi="宋体"/>
          <w:b/>
          <w:sz w:val="44"/>
          <w:szCs w:val="44"/>
        </w:rPr>
        <w:t>九</w:t>
      </w:r>
      <w:r>
        <w:rPr>
          <w:rFonts w:hAnsi="宋体"/>
          <w:b/>
          <w:sz w:val="44"/>
          <w:szCs w:val="44"/>
        </w:rPr>
        <w:t>年</w:t>
      </w:r>
      <w:r>
        <w:rPr>
          <w:rFonts w:hint="eastAsia" w:hAnsi="宋体"/>
          <w:b/>
          <w:sz w:val="44"/>
          <w:szCs w:val="44"/>
        </w:rPr>
        <w:t>三</w:t>
      </w:r>
      <w:r>
        <w:rPr>
          <w:rFonts w:hAnsi="宋体"/>
          <w:b/>
          <w:sz w:val="44"/>
          <w:szCs w:val="44"/>
        </w:rPr>
        <w:t>月</w:t>
      </w: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jc w:val="center"/>
        <w:rPr>
          <w:b/>
          <w:sz w:val="44"/>
          <w:szCs w:val="44"/>
        </w:rPr>
      </w:pPr>
      <w:r>
        <w:rPr>
          <w:rFonts w:hAnsi="宋体"/>
          <w:b/>
          <w:sz w:val="44"/>
          <w:szCs w:val="44"/>
        </w:rPr>
        <w:t>目</w:t>
      </w:r>
      <w:r>
        <w:rPr>
          <w:rFonts w:hint="eastAsia" w:hAnsi="宋体"/>
          <w:b/>
          <w:sz w:val="44"/>
          <w:szCs w:val="44"/>
        </w:rPr>
        <w:t xml:space="preserve">    </w:t>
      </w:r>
      <w:r>
        <w:rPr>
          <w:rFonts w:hAnsi="宋体"/>
          <w:b/>
          <w:sz w:val="44"/>
          <w:szCs w:val="44"/>
        </w:rPr>
        <w:t>录</w:t>
      </w:r>
    </w:p>
    <w:p>
      <w:pPr>
        <w:numPr>
          <w:ilvl w:val="0"/>
          <w:numId w:val="1"/>
        </w:numPr>
        <w:rPr>
          <w:b/>
          <w:sz w:val="32"/>
          <w:szCs w:val="32"/>
        </w:rPr>
      </w:pPr>
      <w:r>
        <w:rPr>
          <w:b/>
          <w:sz w:val="32"/>
          <w:szCs w:val="32"/>
        </w:rPr>
        <w:t>秦皇岛</w:t>
      </w:r>
      <w:r>
        <w:rPr>
          <w:rFonts w:hint="eastAsia"/>
          <w:b/>
          <w:sz w:val="32"/>
          <w:szCs w:val="32"/>
        </w:rPr>
        <w:t>出口加工区管理委员会部门</w:t>
      </w:r>
      <w:r>
        <w:rPr>
          <w:b/>
          <w:sz w:val="32"/>
          <w:szCs w:val="32"/>
        </w:rPr>
        <w:t>201</w:t>
      </w:r>
      <w:r>
        <w:rPr>
          <w:rFonts w:hint="eastAsia"/>
          <w:b/>
          <w:sz w:val="32"/>
          <w:szCs w:val="32"/>
        </w:rPr>
        <w:t>9</w:t>
      </w:r>
      <w:r>
        <w:rPr>
          <w:b/>
          <w:sz w:val="32"/>
          <w:szCs w:val="32"/>
        </w:rPr>
        <w:t>年度</w:t>
      </w:r>
      <w:r>
        <w:rPr>
          <w:rFonts w:hint="eastAsia"/>
          <w:b/>
          <w:sz w:val="32"/>
          <w:szCs w:val="32"/>
        </w:rPr>
        <w:t>部门预算情况说明</w:t>
      </w:r>
    </w:p>
    <w:p>
      <w:pPr>
        <w:ind w:firstLine="640" w:firstLineChars="200"/>
        <w:rPr>
          <w:rFonts w:ascii="宋体" w:hAnsi="宋体"/>
          <w:kern w:val="0"/>
          <w:sz w:val="32"/>
          <w:szCs w:val="32"/>
        </w:rPr>
      </w:pPr>
      <w:r>
        <w:rPr>
          <w:rFonts w:ascii="宋体" w:hAnsi="宋体"/>
          <w:kern w:val="0"/>
          <w:sz w:val="32"/>
          <w:szCs w:val="32"/>
        </w:rPr>
        <w:t>第一部分</w:t>
      </w:r>
      <w:r>
        <w:rPr>
          <w:rFonts w:hint="eastAsia" w:ascii="宋体" w:hAnsi="宋体"/>
          <w:kern w:val="0"/>
          <w:sz w:val="32"/>
          <w:szCs w:val="32"/>
        </w:rPr>
        <w:t xml:space="preserve"> </w:t>
      </w:r>
      <w:r>
        <w:rPr>
          <w:rFonts w:ascii="宋体" w:hAnsi="宋体"/>
          <w:kern w:val="0"/>
          <w:sz w:val="32"/>
          <w:szCs w:val="32"/>
        </w:rPr>
        <w:t>部门职责</w:t>
      </w:r>
      <w:r>
        <w:rPr>
          <w:rFonts w:hint="eastAsia" w:ascii="宋体" w:hAnsi="宋体"/>
          <w:kern w:val="0"/>
          <w:sz w:val="32"/>
          <w:szCs w:val="32"/>
        </w:rPr>
        <w:t>及机构设置情况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二</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部门预算安排总体情况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三</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机关运行经费安排情况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四</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财政拨款“三公”经费预算情况</w:t>
      </w:r>
    </w:p>
    <w:p>
      <w:pPr>
        <w:ind w:firstLine="640" w:firstLineChars="200"/>
        <w:rPr>
          <w:rFonts w:ascii="宋体" w:hAnsi="宋体"/>
          <w:sz w:val="32"/>
          <w:szCs w:val="32"/>
        </w:rPr>
      </w:pPr>
      <w:r>
        <w:rPr>
          <w:rFonts w:ascii="宋体" w:hAnsi="宋体"/>
          <w:kern w:val="0"/>
          <w:sz w:val="32"/>
          <w:szCs w:val="32"/>
        </w:rPr>
        <w:t>第</w:t>
      </w:r>
      <w:r>
        <w:rPr>
          <w:rFonts w:hint="eastAsia" w:ascii="宋体" w:hAnsi="宋体"/>
          <w:kern w:val="0"/>
          <w:sz w:val="32"/>
          <w:szCs w:val="32"/>
        </w:rPr>
        <w:t>五</w:t>
      </w:r>
      <w:r>
        <w:rPr>
          <w:rFonts w:ascii="宋体" w:hAnsi="宋体"/>
          <w:kern w:val="0"/>
          <w:sz w:val="32"/>
          <w:szCs w:val="32"/>
        </w:rPr>
        <w:t>部分</w:t>
      </w:r>
      <w:r>
        <w:rPr>
          <w:rFonts w:hint="eastAsia" w:ascii="宋体" w:hAnsi="宋体"/>
          <w:kern w:val="0"/>
          <w:sz w:val="32"/>
          <w:szCs w:val="32"/>
        </w:rPr>
        <w:t xml:space="preserve"> </w:t>
      </w:r>
      <w:r>
        <w:rPr>
          <w:rFonts w:hint="eastAsia" w:ascii="宋体" w:hAnsi="宋体"/>
          <w:sz w:val="32"/>
          <w:szCs w:val="32"/>
        </w:rPr>
        <w:t>绩效预算信息情况</w:t>
      </w:r>
    </w:p>
    <w:p>
      <w:pPr>
        <w:ind w:firstLine="640" w:firstLineChars="200"/>
        <w:rPr>
          <w:rFonts w:ascii="宋体" w:hAnsi="宋体"/>
          <w:sz w:val="32"/>
          <w:szCs w:val="32"/>
        </w:rPr>
      </w:pPr>
      <w:r>
        <w:rPr>
          <w:rFonts w:hint="eastAsia" w:ascii="宋体" w:hAnsi="宋体"/>
          <w:sz w:val="32"/>
          <w:szCs w:val="32"/>
        </w:rPr>
        <w:t>第六部分 政府采购预算情况</w:t>
      </w:r>
    </w:p>
    <w:p>
      <w:pPr>
        <w:ind w:firstLine="640" w:firstLineChars="200"/>
        <w:rPr>
          <w:rFonts w:ascii="宋体" w:hAnsi="宋体"/>
          <w:sz w:val="32"/>
          <w:szCs w:val="32"/>
        </w:rPr>
      </w:pPr>
      <w:r>
        <w:rPr>
          <w:rFonts w:hint="eastAsia" w:ascii="宋体" w:hAnsi="宋体"/>
          <w:sz w:val="32"/>
          <w:szCs w:val="32"/>
        </w:rPr>
        <w:t xml:space="preserve">第七部分 </w:t>
      </w:r>
      <w:r>
        <w:rPr>
          <w:rFonts w:ascii="宋体" w:hAnsi="宋体"/>
          <w:sz w:val="32"/>
          <w:szCs w:val="32"/>
        </w:rPr>
        <w:t>国有资产信息</w:t>
      </w:r>
    </w:p>
    <w:p>
      <w:pPr>
        <w:ind w:firstLine="640" w:firstLineChars="200"/>
        <w:rPr>
          <w:rFonts w:ascii="宋体" w:hAnsi="宋体"/>
          <w:sz w:val="32"/>
          <w:szCs w:val="32"/>
        </w:rPr>
      </w:pPr>
      <w:r>
        <w:rPr>
          <w:rFonts w:hint="eastAsia" w:ascii="宋体" w:hAnsi="宋体"/>
          <w:sz w:val="32"/>
          <w:szCs w:val="32"/>
        </w:rPr>
        <w:t>第八部分 名词解释</w:t>
      </w:r>
    </w:p>
    <w:p>
      <w:pPr>
        <w:ind w:firstLine="640" w:firstLineChars="200"/>
        <w:rPr>
          <w:rFonts w:ascii="宋体" w:hAnsi="宋体"/>
          <w:spacing w:val="-16"/>
          <w:kern w:val="0"/>
          <w:sz w:val="32"/>
          <w:szCs w:val="32"/>
        </w:rPr>
      </w:pPr>
      <w:r>
        <w:rPr>
          <w:rFonts w:hint="eastAsia" w:ascii="宋体" w:hAnsi="宋体"/>
          <w:sz w:val="32"/>
          <w:szCs w:val="32"/>
        </w:rPr>
        <w:t>第九部分 其他需要说明的事项</w:t>
      </w:r>
    </w:p>
    <w:p>
      <w:pPr>
        <w:rPr>
          <w:rFonts w:ascii="宋体" w:hAnsi="宋体"/>
          <w:spacing w:val="-16"/>
          <w:kern w:val="0"/>
          <w:sz w:val="32"/>
          <w:szCs w:val="32"/>
        </w:rPr>
      </w:pPr>
    </w:p>
    <w:p>
      <w:pPr>
        <w:numPr>
          <w:ilvl w:val="0"/>
          <w:numId w:val="1"/>
        </w:numPr>
        <w:rPr>
          <w:b/>
          <w:sz w:val="32"/>
          <w:szCs w:val="32"/>
        </w:rPr>
      </w:pPr>
      <w:r>
        <w:rPr>
          <w:b/>
          <w:sz w:val="32"/>
          <w:szCs w:val="32"/>
        </w:rPr>
        <w:t>秦皇岛</w:t>
      </w:r>
      <w:r>
        <w:rPr>
          <w:rFonts w:hint="eastAsia"/>
          <w:b/>
          <w:sz w:val="32"/>
          <w:szCs w:val="32"/>
        </w:rPr>
        <w:t>出口加工区管理委员会部门</w:t>
      </w:r>
      <w:r>
        <w:rPr>
          <w:b/>
          <w:sz w:val="32"/>
          <w:szCs w:val="32"/>
        </w:rPr>
        <w:t>201</w:t>
      </w:r>
      <w:r>
        <w:rPr>
          <w:rFonts w:hint="eastAsia"/>
          <w:b/>
          <w:sz w:val="32"/>
          <w:szCs w:val="32"/>
        </w:rPr>
        <w:t>9</w:t>
      </w:r>
      <w:r>
        <w:rPr>
          <w:b/>
          <w:sz w:val="32"/>
          <w:szCs w:val="32"/>
        </w:rPr>
        <w:t>年度部门</w:t>
      </w:r>
      <w:r>
        <w:rPr>
          <w:rFonts w:hint="eastAsia"/>
          <w:b/>
          <w:sz w:val="32"/>
          <w:szCs w:val="32"/>
        </w:rPr>
        <w:t>预算公开</w:t>
      </w:r>
      <w:r>
        <w:rPr>
          <w:b/>
          <w:sz w:val="32"/>
          <w:szCs w:val="32"/>
        </w:rPr>
        <w:t>表</w:t>
      </w:r>
    </w:p>
    <w:p>
      <w:pPr>
        <w:numPr>
          <w:ilvl w:val="0"/>
          <w:numId w:val="2"/>
        </w:numPr>
        <w:rPr>
          <w:rFonts w:ascii="宋体" w:hAnsi="宋体"/>
          <w:kern w:val="0"/>
          <w:sz w:val="32"/>
          <w:szCs w:val="32"/>
        </w:rPr>
      </w:pPr>
      <w:r>
        <w:rPr>
          <w:rFonts w:hint="eastAsia" w:ascii="宋体" w:hAnsi="宋体"/>
          <w:kern w:val="0"/>
          <w:sz w:val="32"/>
          <w:szCs w:val="32"/>
        </w:rPr>
        <w:t>部门预算收支</w:t>
      </w:r>
      <w:r>
        <w:rPr>
          <w:rFonts w:ascii="宋体" w:hAnsi="宋体"/>
          <w:kern w:val="0"/>
          <w:sz w:val="32"/>
          <w:szCs w:val="32"/>
        </w:rPr>
        <w:t>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预算收入总表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预算支出总表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预算财政拨款收支总表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预算一般公共预算财政拨款基本支出表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预算政府性基金预算财政拨款支出表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w:t>
      </w:r>
      <w:r>
        <w:rPr>
          <w:rFonts w:hint="eastAsia" w:ascii="宋体" w:hAnsi="宋体"/>
          <w:kern w:val="0"/>
          <w:sz w:val="32"/>
          <w:szCs w:val="32"/>
        </w:rPr>
        <w:t>国有资本经营预算</w:t>
      </w:r>
      <w:r>
        <w:rPr>
          <w:rFonts w:ascii="宋体" w:hAnsi="宋体"/>
          <w:kern w:val="0"/>
          <w:sz w:val="32"/>
          <w:szCs w:val="32"/>
        </w:rPr>
        <w:t>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预算财政拨款“三公”经费支出预算总表</w:t>
      </w:r>
    </w:p>
    <w:p>
      <w:pPr>
        <w:ind w:left="840"/>
        <w:rPr>
          <w:rFonts w:ascii="宋体" w:hAnsi="宋体"/>
          <w:kern w:val="0"/>
          <w:sz w:val="32"/>
          <w:szCs w:val="32"/>
        </w:rPr>
      </w:pPr>
      <w:r>
        <w:rPr>
          <w:rFonts w:hint="eastAsia" w:ascii="宋体" w:hAnsi="宋体"/>
          <w:kern w:val="0"/>
          <w:sz w:val="32"/>
          <w:szCs w:val="32"/>
        </w:rPr>
        <w:t>(以上九张公开表格见2019年秦皇岛出口加工区管理委员会部门预算公开表)</w:t>
      </w:r>
    </w:p>
    <w:p>
      <w:pPr>
        <w:rPr>
          <w:rFonts w:hAnsi="黑体" w:eastAsia="黑体"/>
          <w:spacing w:val="-16"/>
          <w:kern w:val="0"/>
          <w:sz w:val="32"/>
          <w:szCs w:val="32"/>
        </w:rPr>
      </w:pPr>
    </w:p>
    <w:p>
      <w:pPr>
        <w:rPr>
          <w:rFonts w:hAnsi="黑体" w:eastAsia="黑体"/>
          <w:spacing w:val="-16"/>
          <w:kern w:val="0"/>
          <w:sz w:val="32"/>
          <w:szCs w:val="32"/>
        </w:rPr>
      </w:pPr>
    </w:p>
    <w:p>
      <w:pPr>
        <w:jc w:val="center"/>
        <w:rPr>
          <w:rFonts w:hAnsi="黑体" w:eastAsia="黑体"/>
          <w:kern w:val="0"/>
          <w:sz w:val="44"/>
          <w:szCs w:val="44"/>
        </w:rPr>
      </w:pPr>
      <w:r>
        <w:rPr>
          <w:rFonts w:hAnsi="黑体" w:eastAsia="黑体"/>
          <w:kern w:val="0"/>
          <w:sz w:val="44"/>
          <w:szCs w:val="44"/>
        </w:rPr>
        <w:t>秦</w:t>
      </w:r>
      <w:r>
        <w:rPr>
          <w:rFonts w:hAnsi="黑体" w:eastAsia="黑体"/>
          <w:spacing w:val="-8"/>
          <w:kern w:val="0"/>
          <w:sz w:val="44"/>
          <w:szCs w:val="44"/>
        </w:rPr>
        <w:t>皇岛</w:t>
      </w:r>
      <w:r>
        <w:rPr>
          <w:rFonts w:hint="eastAsia" w:hAnsi="黑体" w:eastAsia="黑体"/>
          <w:kern w:val="0"/>
          <w:sz w:val="44"/>
          <w:szCs w:val="44"/>
        </w:rPr>
        <w:t>出口加工区管理委员会部门</w:t>
      </w:r>
      <w:r>
        <w:rPr>
          <w:rFonts w:eastAsia="黑体"/>
          <w:spacing w:val="-8"/>
          <w:kern w:val="0"/>
          <w:sz w:val="44"/>
          <w:szCs w:val="44"/>
        </w:rPr>
        <w:t>201</w:t>
      </w:r>
      <w:r>
        <w:rPr>
          <w:rFonts w:hint="eastAsia" w:eastAsia="黑体"/>
          <w:spacing w:val="-8"/>
          <w:kern w:val="0"/>
          <w:sz w:val="44"/>
          <w:szCs w:val="44"/>
        </w:rPr>
        <w:t>9</w:t>
      </w:r>
      <w:r>
        <w:rPr>
          <w:rFonts w:hAnsi="黑体" w:eastAsia="黑体"/>
          <w:spacing w:val="-8"/>
          <w:kern w:val="0"/>
          <w:sz w:val="44"/>
          <w:szCs w:val="44"/>
        </w:rPr>
        <w:t>年度</w:t>
      </w:r>
      <w:r>
        <w:rPr>
          <w:rFonts w:hint="eastAsia" w:hAnsi="黑体" w:eastAsia="黑体"/>
          <w:kern w:val="0"/>
          <w:sz w:val="44"/>
          <w:szCs w:val="44"/>
        </w:rPr>
        <w:t>预算信息公开</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560" w:firstLineChars="200"/>
        <w:jc w:val="left"/>
        <w:rPr>
          <w:rFonts w:hAnsi="黑体" w:eastAsia="黑体"/>
          <w:spacing w:val="-16"/>
          <w:kern w:val="0"/>
          <w:sz w:val="32"/>
          <w:szCs w:val="32"/>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预算法》、</w:t>
      </w:r>
      <w:r>
        <w:rPr>
          <w:rFonts w:ascii="仿宋_GB2312" w:hAnsi="仿宋_GB2312" w:eastAsia="仿宋_GB2312" w:cs="仿宋_GB2312"/>
          <w:sz w:val="32"/>
          <w:szCs w:val="32"/>
        </w:rPr>
        <w:t>《河北省</w:t>
      </w:r>
      <w:r>
        <w:rPr>
          <w:rFonts w:hint="eastAsia" w:ascii="仿宋_GB2312" w:hAnsi="仿宋_GB2312" w:eastAsia="仿宋_GB2312" w:cs="仿宋_GB2312"/>
          <w:sz w:val="32"/>
          <w:szCs w:val="32"/>
        </w:rPr>
        <w:t>预决算公开操作实施细则</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和《秦皇岛市市级预算公开办法》</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，现将20</w:t>
      </w:r>
      <w:r>
        <w:rPr>
          <w:rFonts w:hint="eastAsia" w:ascii="仿宋_GB2312" w:hAnsi="仿宋_GB2312" w:eastAsia="仿宋_GB2312" w:cs="仿宋_GB2312"/>
          <w:sz w:val="32"/>
          <w:szCs w:val="32"/>
          <w:lang w:val="en-US" w:eastAsia="zh-CN"/>
        </w:rPr>
        <w:t>19</w:t>
      </w:r>
      <w:r>
        <w:rPr>
          <w:rFonts w:ascii="仿宋_GB2312" w:hAnsi="仿宋_GB2312" w:eastAsia="仿宋_GB2312" w:cs="仿宋_GB2312"/>
          <w:sz w:val="32"/>
          <w:szCs w:val="32"/>
        </w:rPr>
        <w:t>年部门预算公开如下：</w:t>
      </w:r>
      <w:r>
        <w:rPr>
          <w:rFonts w:hAnsi="黑体" w:eastAsia="黑体"/>
          <w:spacing w:val="-16"/>
          <w:kern w:val="0"/>
          <w:sz w:val="32"/>
          <w:szCs w:val="32"/>
        </w:rPr>
        <w:t xml:space="preserve">  </w:t>
      </w:r>
    </w:p>
    <w:p>
      <w:pPr>
        <w:rPr>
          <w:rFonts w:eastAsia="黑体"/>
          <w:kern w:val="0"/>
          <w:sz w:val="32"/>
          <w:szCs w:val="32"/>
        </w:rPr>
      </w:pPr>
      <w:r>
        <w:rPr>
          <w:rFonts w:hAnsi="黑体" w:eastAsia="黑体"/>
          <w:kern w:val="0"/>
          <w:sz w:val="32"/>
          <w:szCs w:val="32"/>
        </w:rPr>
        <w:t>第一部分</w:t>
      </w:r>
      <w:r>
        <w:rPr>
          <w:rFonts w:hint="eastAsia" w:hAnsi="黑体" w:eastAsia="黑体"/>
          <w:kern w:val="0"/>
          <w:sz w:val="32"/>
          <w:szCs w:val="32"/>
        </w:rPr>
        <w:t xml:space="preserve"> </w:t>
      </w:r>
      <w:r>
        <w:rPr>
          <w:rFonts w:hAnsi="黑体" w:eastAsia="黑体"/>
          <w:kern w:val="0"/>
          <w:sz w:val="32"/>
          <w:szCs w:val="32"/>
        </w:rPr>
        <w:t>部门职责</w:t>
      </w:r>
      <w:r>
        <w:rPr>
          <w:rFonts w:hint="eastAsia" w:hAnsi="黑体" w:eastAsia="黑体"/>
          <w:kern w:val="0"/>
          <w:sz w:val="32"/>
          <w:szCs w:val="32"/>
        </w:rPr>
        <w:t>及机构设置情况</w:t>
      </w:r>
    </w:p>
    <w:p>
      <w:pPr>
        <w:pStyle w:val="19"/>
        <w:ind w:firstLine="643"/>
        <w:rPr>
          <w:rFonts w:eastAsia="仿宋_GB2312"/>
          <w:kern w:val="0"/>
          <w:sz w:val="32"/>
          <w:szCs w:val="32"/>
        </w:rPr>
      </w:pPr>
      <w:r>
        <w:rPr>
          <w:rFonts w:hint="eastAsia" w:eastAsia="仿宋_GB2312"/>
          <w:b/>
          <w:bCs/>
          <w:kern w:val="0"/>
          <w:sz w:val="32"/>
          <w:szCs w:val="32"/>
        </w:rPr>
        <w:t>一、部门主要职责</w:t>
      </w:r>
    </w:p>
    <w:p>
      <w:pPr>
        <w:pStyle w:val="19"/>
        <w:ind w:firstLine="640"/>
        <w:rPr>
          <w:rFonts w:ascii="仿宋_GB2312" w:eastAsia="仿宋_GB2312"/>
          <w:kern w:val="0"/>
          <w:sz w:val="32"/>
          <w:szCs w:val="32"/>
        </w:rPr>
      </w:pPr>
      <w:r>
        <w:rPr>
          <w:rFonts w:hint="eastAsia" w:ascii="仿宋_GB2312" w:eastAsia="仿宋_GB2312"/>
          <w:kern w:val="0"/>
          <w:sz w:val="32"/>
          <w:szCs w:val="32"/>
        </w:rPr>
        <w:t>1、保证国家法律法规在加工区的实施；</w:t>
      </w:r>
    </w:p>
    <w:p>
      <w:pPr>
        <w:pStyle w:val="19"/>
        <w:ind w:firstLine="640"/>
        <w:rPr>
          <w:rFonts w:ascii="仿宋_GB2312" w:eastAsia="仿宋_GB2312"/>
          <w:kern w:val="0"/>
          <w:sz w:val="32"/>
          <w:szCs w:val="32"/>
        </w:rPr>
      </w:pPr>
      <w:r>
        <w:rPr>
          <w:rFonts w:hint="eastAsia" w:ascii="仿宋_GB2312" w:eastAsia="仿宋_GB2312"/>
          <w:kern w:val="0"/>
          <w:sz w:val="32"/>
          <w:szCs w:val="32"/>
        </w:rPr>
        <w:t>2、根据国家、地方政府有关法律法规和规章制定加工区管委会的各项管理规定；</w:t>
      </w:r>
    </w:p>
    <w:p>
      <w:pPr>
        <w:pStyle w:val="19"/>
        <w:ind w:firstLine="640"/>
        <w:rPr>
          <w:rFonts w:ascii="仿宋_GB2312" w:eastAsia="仿宋_GB2312"/>
          <w:kern w:val="0"/>
          <w:sz w:val="32"/>
          <w:szCs w:val="32"/>
        </w:rPr>
      </w:pPr>
      <w:r>
        <w:rPr>
          <w:rFonts w:hint="eastAsia" w:ascii="仿宋_GB2312" w:eastAsia="仿宋_GB2312"/>
          <w:kern w:val="0"/>
          <w:sz w:val="32"/>
          <w:szCs w:val="32"/>
        </w:rPr>
        <w:t>3、制订加工区的发展建设规划方案；</w:t>
      </w:r>
    </w:p>
    <w:p>
      <w:pPr>
        <w:pStyle w:val="19"/>
        <w:ind w:firstLine="640"/>
        <w:rPr>
          <w:rFonts w:ascii="仿宋_GB2312" w:eastAsia="仿宋_GB2312"/>
          <w:kern w:val="0"/>
          <w:sz w:val="32"/>
          <w:szCs w:val="32"/>
        </w:rPr>
      </w:pPr>
      <w:r>
        <w:rPr>
          <w:rFonts w:hint="eastAsia" w:ascii="仿宋_GB2312" w:eastAsia="仿宋_GB2312"/>
          <w:kern w:val="0"/>
          <w:sz w:val="32"/>
          <w:szCs w:val="32"/>
        </w:rPr>
        <w:t>4、依据市政府授权管理加工区内的财政、国有资产、工商行政、劳动人事、规划建设、土地房产、公用事业、治安及环境保护等行政事务；</w:t>
      </w:r>
    </w:p>
    <w:p>
      <w:pPr>
        <w:pStyle w:val="19"/>
        <w:ind w:firstLine="640"/>
        <w:rPr>
          <w:rFonts w:ascii="仿宋_GB2312" w:eastAsia="仿宋_GB2312"/>
          <w:kern w:val="0"/>
          <w:sz w:val="32"/>
          <w:szCs w:val="32"/>
        </w:rPr>
      </w:pPr>
      <w:r>
        <w:rPr>
          <w:rFonts w:hint="eastAsia" w:ascii="仿宋_GB2312" w:eastAsia="仿宋_GB2312"/>
          <w:kern w:val="0"/>
          <w:sz w:val="32"/>
          <w:szCs w:val="32"/>
        </w:rPr>
        <w:t>5、根据国家授权和国家产业政策导向，负责出口加工区对外招商项目、合同章程的审批及外商投资企业的管理工作。</w:t>
      </w:r>
    </w:p>
    <w:p>
      <w:pPr>
        <w:pStyle w:val="19"/>
        <w:ind w:firstLine="640"/>
        <w:rPr>
          <w:rFonts w:ascii="仿宋_GB2312" w:eastAsia="仿宋_GB2312"/>
          <w:kern w:val="0"/>
          <w:sz w:val="32"/>
          <w:szCs w:val="32"/>
        </w:rPr>
      </w:pPr>
      <w:r>
        <w:rPr>
          <w:rFonts w:hint="eastAsia" w:ascii="仿宋_GB2312" w:eastAsia="仿宋_GB2312"/>
          <w:kern w:val="0"/>
          <w:sz w:val="32"/>
          <w:szCs w:val="32"/>
        </w:rPr>
        <w:t>6、根据国家授权负责区内加工贸易业务管理及企业进出境货物、物品的审批；</w:t>
      </w:r>
    </w:p>
    <w:p>
      <w:pPr>
        <w:pStyle w:val="19"/>
        <w:ind w:firstLine="640"/>
        <w:rPr>
          <w:rFonts w:ascii="仿宋_GB2312" w:eastAsia="仿宋_GB2312"/>
          <w:kern w:val="0"/>
          <w:sz w:val="32"/>
          <w:szCs w:val="32"/>
        </w:rPr>
      </w:pPr>
      <w:r>
        <w:rPr>
          <w:rFonts w:hint="eastAsia" w:ascii="仿宋_GB2312" w:eastAsia="仿宋_GB2312"/>
          <w:kern w:val="0"/>
          <w:sz w:val="32"/>
          <w:szCs w:val="32"/>
        </w:rPr>
        <w:t xml:space="preserve">7、市人民政府授予的其他职权。 </w:t>
      </w:r>
    </w:p>
    <w:p>
      <w:pPr>
        <w:pStyle w:val="19"/>
        <w:ind w:firstLine="643"/>
        <w:rPr>
          <w:rFonts w:eastAsia="仿宋_GB2312"/>
          <w:kern w:val="0"/>
          <w:sz w:val="32"/>
          <w:szCs w:val="32"/>
        </w:rPr>
      </w:pPr>
      <w:r>
        <w:rPr>
          <w:rFonts w:hint="eastAsia" w:eastAsia="仿宋_GB2312"/>
          <w:b/>
          <w:bCs/>
          <w:kern w:val="0"/>
          <w:sz w:val="32"/>
          <w:szCs w:val="32"/>
        </w:rPr>
        <w:t>二、部门机构设置</w:t>
      </w:r>
    </w:p>
    <w:tbl>
      <w:tblPr>
        <w:tblStyle w:val="8"/>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3" w:type="dxa"/>
          </w:tcPr>
          <w:p>
            <w:pPr>
              <w:pStyle w:val="19"/>
              <w:ind w:firstLine="0" w:firstLineChars="0"/>
              <w:jc w:val="center"/>
              <w:rPr>
                <w:rFonts w:eastAsia="仿宋_GB2312"/>
                <w:b/>
                <w:kern w:val="0"/>
                <w:sz w:val="32"/>
                <w:szCs w:val="32"/>
              </w:rPr>
            </w:pPr>
            <w:r>
              <w:rPr>
                <w:rFonts w:hint="eastAsia" w:eastAsia="仿宋_GB2312"/>
                <w:b/>
                <w:kern w:val="0"/>
                <w:sz w:val="32"/>
                <w:szCs w:val="32"/>
              </w:rPr>
              <w:t>单位名称</w:t>
            </w:r>
          </w:p>
        </w:tc>
        <w:tc>
          <w:tcPr>
            <w:tcW w:w="3543" w:type="dxa"/>
          </w:tcPr>
          <w:p>
            <w:pPr>
              <w:pStyle w:val="19"/>
              <w:ind w:firstLine="0" w:firstLineChars="0"/>
              <w:jc w:val="center"/>
              <w:rPr>
                <w:rFonts w:eastAsia="仿宋_GB2312"/>
                <w:b/>
                <w:kern w:val="0"/>
                <w:sz w:val="32"/>
                <w:szCs w:val="32"/>
              </w:rPr>
            </w:pPr>
            <w:r>
              <w:rPr>
                <w:rFonts w:hint="eastAsia" w:eastAsia="仿宋_GB2312"/>
                <w:b/>
                <w:kern w:val="0"/>
                <w:sz w:val="32"/>
                <w:szCs w:val="32"/>
              </w:rPr>
              <w:t>单位性质</w:t>
            </w:r>
          </w:p>
        </w:tc>
        <w:tc>
          <w:tcPr>
            <w:tcW w:w="3544" w:type="dxa"/>
          </w:tcPr>
          <w:p>
            <w:pPr>
              <w:pStyle w:val="19"/>
              <w:ind w:firstLine="0" w:firstLineChars="0"/>
              <w:jc w:val="center"/>
              <w:rPr>
                <w:rFonts w:eastAsia="仿宋_GB2312"/>
                <w:b/>
                <w:kern w:val="0"/>
                <w:sz w:val="32"/>
                <w:szCs w:val="32"/>
              </w:rPr>
            </w:pPr>
            <w:r>
              <w:rPr>
                <w:rFonts w:hint="eastAsia" w:eastAsia="仿宋_GB2312"/>
                <w:b/>
                <w:kern w:val="0"/>
                <w:sz w:val="32"/>
                <w:szCs w:val="32"/>
              </w:rPr>
              <w:t>单位规格</w:t>
            </w:r>
          </w:p>
        </w:tc>
        <w:tc>
          <w:tcPr>
            <w:tcW w:w="3544" w:type="dxa"/>
          </w:tcPr>
          <w:p>
            <w:pPr>
              <w:pStyle w:val="19"/>
              <w:ind w:firstLine="0" w:firstLineChars="0"/>
              <w:jc w:val="center"/>
              <w:rPr>
                <w:rFonts w:eastAsia="仿宋_GB2312"/>
                <w:b/>
                <w:kern w:val="0"/>
                <w:sz w:val="32"/>
                <w:szCs w:val="32"/>
              </w:rPr>
            </w:pPr>
            <w:r>
              <w:rPr>
                <w:rFonts w:hint="eastAsia" w:eastAsia="仿宋_GB2312"/>
                <w:b/>
                <w:kern w:val="0"/>
                <w:sz w:val="32"/>
                <w:szCs w:val="32"/>
              </w:rPr>
              <w:t>经费保障形式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9" w:hRule="atLeast"/>
        </w:trPr>
        <w:tc>
          <w:tcPr>
            <w:tcW w:w="3543" w:type="dxa"/>
          </w:tcPr>
          <w:p>
            <w:pPr>
              <w:pStyle w:val="19"/>
              <w:ind w:left="960" w:hanging="960" w:hangingChars="300"/>
              <w:jc w:val="center"/>
              <w:rPr>
                <w:rFonts w:eastAsia="仿宋_GB2312"/>
                <w:kern w:val="0"/>
                <w:sz w:val="32"/>
                <w:szCs w:val="32"/>
              </w:rPr>
            </w:pPr>
            <w:r>
              <w:rPr>
                <w:rFonts w:hint="eastAsia" w:eastAsia="仿宋_GB2312"/>
                <w:kern w:val="0"/>
                <w:sz w:val="32"/>
                <w:szCs w:val="32"/>
              </w:rPr>
              <w:t>秦皇岛出口加工区</w:t>
            </w:r>
          </w:p>
          <w:p>
            <w:pPr>
              <w:jc w:val="center"/>
              <w:rPr>
                <w:rFonts w:eastAsia="仿宋_GB2312"/>
                <w:kern w:val="0"/>
                <w:sz w:val="32"/>
                <w:szCs w:val="32"/>
              </w:rPr>
            </w:pPr>
            <w:r>
              <w:rPr>
                <w:rFonts w:hint="eastAsia" w:eastAsia="仿宋_GB2312"/>
                <w:kern w:val="0"/>
                <w:sz w:val="32"/>
                <w:szCs w:val="32"/>
              </w:rPr>
              <w:t>管理委员会</w:t>
            </w:r>
          </w:p>
        </w:tc>
        <w:tc>
          <w:tcPr>
            <w:tcW w:w="3543" w:type="dxa"/>
          </w:tcPr>
          <w:p>
            <w:pPr>
              <w:pStyle w:val="19"/>
              <w:ind w:firstLine="0" w:firstLineChars="0"/>
              <w:jc w:val="center"/>
              <w:rPr>
                <w:rFonts w:eastAsia="仿宋_GB2312"/>
                <w:kern w:val="0"/>
                <w:sz w:val="32"/>
                <w:szCs w:val="32"/>
              </w:rPr>
            </w:pPr>
            <w:r>
              <w:rPr>
                <w:rFonts w:hint="eastAsia" w:eastAsia="仿宋_GB2312"/>
                <w:kern w:val="0"/>
                <w:sz w:val="32"/>
                <w:szCs w:val="32"/>
              </w:rPr>
              <w:t>机关</w:t>
            </w:r>
          </w:p>
        </w:tc>
        <w:tc>
          <w:tcPr>
            <w:tcW w:w="3544" w:type="dxa"/>
          </w:tcPr>
          <w:p>
            <w:pPr>
              <w:pStyle w:val="19"/>
              <w:ind w:firstLine="0" w:firstLineChars="0"/>
              <w:jc w:val="center"/>
              <w:rPr>
                <w:rFonts w:eastAsia="仿宋_GB2312"/>
                <w:kern w:val="0"/>
                <w:sz w:val="32"/>
                <w:szCs w:val="32"/>
              </w:rPr>
            </w:pPr>
            <w:r>
              <w:rPr>
                <w:rFonts w:hint="eastAsia" w:eastAsia="仿宋_GB2312"/>
                <w:kern w:val="0"/>
                <w:sz w:val="32"/>
                <w:szCs w:val="32"/>
              </w:rPr>
              <w:t>副地市级</w:t>
            </w:r>
          </w:p>
        </w:tc>
        <w:tc>
          <w:tcPr>
            <w:tcW w:w="3544" w:type="dxa"/>
          </w:tcPr>
          <w:p>
            <w:pPr>
              <w:pStyle w:val="19"/>
              <w:ind w:firstLine="0" w:firstLineChars="0"/>
              <w:jc w:val="center"/>
              <w:rPr>
                <w:rFonts w:eastAsia="仿宋_GB2312"/>
                <w:kern w:val="0"/>
                <w:sz w:val="32"/>
                <w:szCs w:val="32"/>
              </w:rPr>
            </w:pPr>
            <w:r>
              <w:rPr>
                <w:rFonts w:hint="eastAsia" w:eastAsia="仿宋_GB2312"/>
                <w:kern w:val="0"/>
                <w:sz w:val="32"/>
                <w:szCs w:val="32"/>
              </w:rPr>
              <w:t>财政拨款</w:t>
            </w:r>
          </w:p>
        </w:tc>
      </w:tr>
    </w:tbl>
    <w:p>
      <w:pPr>
        <w:pStyle w:val="19"/>
        <w:ind w:firstLine="640"/>
        <w:rPr>
          <w:rFonts w:eastAsia="仿宋_GB2312"/>
          <w:kern w:val="0"/>
          <w:sz w:val="32"/>
          <w:szCs w:val="32"/>
        </w:rPr>
      </w:pPr>
    </w:p>
    <w:p>
      <w:pPr>
        <w:pStyle w:val="19"/>
        <w:ind w:firstLine="0" w:firstLineChars="0"/>
        <w:rPr>
          <w:rFonts w:ascii="仿宋_GB2312" w:eastAsia="仿宋_GB2312"/>
          <w:sz w:val="32"/>
          <w:szCs w:val="32"/>
        </w:rPr>
      </w:pPr>
      <w:r>
        <w:rPr>
          <w:rFonts w:hAnsi="黑体" w:eastAsia="黑体"/>
          <w:kern w:val="0"/>
          <w:sz w:val="32"/>
          <w:szCs w:val="32"/>
        </w:rPr>
        <w:t>第</w:t>
      </w:r>
      <w:r>
        <w:rPr>
          <w:rFonts w:hint="eastAsia" w:hAnsi="黑体" w:eastAsia="黑体"/>
          <w:kern w:val="0"/>
          <w:sz w:val="32"/>
          <w:szCs w:val="32"/>
        </w:rPr>
        <w:t>二</w:t>
      </w:r>
      <w:r>
        <w:rPr>
          <w:rFonts w:hAnsi="黑体" w:eastAsia="黑体"/>
          <w:kern w:val="0"/>
          <w:sz w:val="32"/>
          <w:szCs w:val="32"/>
        </w:rPr>
        <w:t>部分</w:t>
      </w:r>
      <w:r>
        <w:rPr>
          <w:rFonts w:hint="eastAsia" w:hAnsi="黑体" w:eastAsia="黑体"/>
          <w:kern w:val="0"/>
          <w:sz w:val="32"/>
          <w:szCs w:val="32"/>
        </w:rPr>
        <w:t xml:space="preserve"> </w:t>
      </w:r>
      <w:r>
        <w:rPr>
          <w:rFonts w:hint="eastAsia" w:ascii="黑体" w:eastAsia="黑体"/>
          <w:sz w:val="32"/>
          <w:szCs w:val="32"/>
        </w:rPr>
        <w:t>部门预算安排总体情况</w:t>
      </w:r>
    </w:p>
    <w:p>
      <w:pPr>
        <w:ind w:firstLine="640"/>
        <w:rPr>
          <w:rFonts w:ascii="仿宋_GB2312" w:eastAsia="仿宋_GB2312"/>
          <w:sz w:val="32"/>
          <w:szCs w:val="32"/>
          <w:highlight w:val="yellow"/>
        </w:rPr>
      </w:pPr>
      <w:r>
        <w:rPr>
          <w:rFonts w:hint="eastAsia" w:ascii="仿宋_GB2312" w:eastAsia="仿宋_GB2312"/>
          <w:sz w:val="32"/>
          <w:szCs w:val="32"/>
        </w:rPr>
        <w:t>按照预算管理有关规定，目前我区部门预算的编制实行综合预算制度，即全部收入和支出都反映在预算中。主管部门及所属单位的收支均包含在部门预算中。</w:t>
      </w:r>
    </w:p>
    <w:p>
      <w:pPr>
        <w:rPr>
          <w:rFonts w:ascii="仿宋_GB2312" w:eastAsia="仿宋_GB2312"/>
          <w:sz w:val="32"/>
          <w:szCs w:val="32"/>
        </w:rPr>
      </w:pPr>
      <w:r>
        <w:rPr>
          <w:rFonts w:hint="eastAsia" w:ascii="仿宋_GB2312" w:eastAsia="仿宋_GB2312"/>
          <w:sz w:val="32"/>
          <w:szCs w:val="32"/>
        </w:rPr>
        <w:t>　　1.收入说明</w:t>
      </w:r>
    </w:p>
    <w:p>
      <w:pPr>
        <w:rPr>
          <w:rFonts w:ascii="仿宋_GB2312" w:eastAsia="仿宋_GB2312"/>
          <w:sz w:val="32"/>
          <w:szCs w:val="32"/>
        </w:rPr>
      </w:pPr>
      <w:r>
        <w:rPr>
          <w:rFonts w:hint="eastAsia" w:ascii="仿宋_GB2312" w:eastAsia="仿宋_GB2312"/>
          <w:sz w:val="32"/>
          <w:szCs w:val="32"/>
        </w:rPr>
        <w:t>　　反映本部门当年全部收入。2019 年预算收入333.13万元，其中：一般公共预算收入333.13万元。</w:t>
      </w:r>
    </w:p>
    <w:p>
      <w:pPr>
        <w:rPr>
          <w:rFonts w:ascii="仿宋_GB2312" w:eastAsia="仿宋_GB2312"/>
          <w:sz w:val="32"/>
          <w:szCs w:val="32"/>
        </w:rPr>
      </w:pPr>
      <w:r>
        <w:rPr>
          <w:rFonts w:hint="eastAsia" w:ascii="仿宋_GB2312" w:eastAsia="仿宋_GB2312"/>
          <w:sz w:val="32"/>
          <w:szCs w:val="32"/>
        </w:rPr>
        <w:t>　　2.支出说明</w:t>
      </w:r>
    </w:p>
    <w:p>
      <w:pPr>
        <w:rPr>
          <w:rFonts w:ascii="仿宋_GB2312" w:eastAsia="仿宋_GB2312"/>
          <w:sz w:val="32"/>
          <w:szCs w:val="32"/>
        </w:rPr>
      </w:pPr>
      <w:r>
        <w:rPr>
          <w:rFonts w:hint="eastAsia" w:ascii="仿宋_GB2312" w:eastAsia="仿宋_GB2312"/>
          <w:sz w:val="32"/>
          <w:szCs w:val="32"/>
        </w:rPr>
        <w:t>　　收支预算总表支出栏、基本支出表、项目支出表按经济分类和支出功能分类科目编制，反映年度本部门预算中支出预算的总体情况。2019年支出预算333.13万元，其中基本支出239.13万元，包括人员经费和日常公用经费；公用项目支出94万元，包括本级支出。</w:t>
      </w:r>
    </w:p>
    <w:p>
      <w:pPr>
        <w:rPr>
          <w:rFonts w:ascii="仿宋_GB2312" w:eastAsia="仿宋_GB2312"/>
          <w:sz w:val="32"/>
          <w:szCs w:val="32"/>
        </w:rPr>
      </w:pPr>
      <w:r>
        <w:rPr>
          <w:rFonts w:hint="eastAsia" w:ascii="仿宋_GB2312" w:eastAsia="仿宋_GB2312"/>
          <w:sz w:val="32"/>
          <w:szCs w:val="32"/>
        </w:rPr>
        <w:t>　　3.比上年增减情况</w:t>
      </w:r>
    </w:p>
    <w:p>
      <w:pPr>
        <w:ind w:firstLine="630"/>
        <w:rPr>
          <w:rFonts w:ascii="仿宋_GB2312" w:eastAsia="仿宋_GB2312"/>
          <w:sz w:val="32"/>
          <w:szCs w:val="32"/>
        </w:rPr>
      </w:pPr>
      <w:r>
        <w:rPr>
          <w:rFonts w:hint="eastAsia" w:ascii="仿宋_GB2312" w:eastAsia="仿宋_GB2312"/>
          <w:sz w:val="32"/>
          <w:szCs w:val="32"/>
        </w:rPr>
        <w:t>2019 年预算收支安排333.13万元，较2018年预算减少312.37万元，其中：基本支出减少32.14万元；项目支出减少280.23万元。</w:t>
      </w:r>
    </w:p>
    <w:p>
      <w:pPr>
        <w:ind w:firstLine="630"/>
        <w:rPr>
          <w:rFonts w:ascii="仿宋_GB2312" w:eastAsia="仿宋_GB2312"/>
          <w:sz w:val="32"/>
          <w:szCs w:val="32"/>
        </w:rPr>
      </w:pPr>
    </w:p>
    <w:p>
      <w:pPr>
        <w:ind w:firstLine="630"/>
        <w:rPr>
          <w:rFonts w:ascii="仿宋_GB2312" w:eastAsia="仿宋_GB2312"/>
          <w:sz w:val="32"/>
          <w:szCs w:val="32"/>
        </w:rPr>
      </w:pPr>
    </w:p>
    <w:p>
      <w:pPr>
        <w:rPr>
          <w:rFonts w:hAnsi="黑体" w:eastAsia="黑体"/>
          <w:spacing w:val="-16"/>
          <w:kern w:val="0"/>
          <w:sz w:val="32"/>
          <w:szCs w:val="32"/>
        </w:rPr>
      </w:pPr>
      <w:r>
        <w:rPr>
          <w:rFonts w:hAnsi="黑体" w:eastAsia="黑体"/>
          <w:kern w:val="0"/>
          <w:sz w:val="32"/>
          <w:szCs w:val="32"/>
        </w:rPr>
        <w:t>第</w:t>
      </w:r>
      <w:r>
        <w:rPr>
          <w:rFonts w:hint="eastAsia" w:hAnsi="黑体" w:eastAsia="黑体"/>
          <w:kern w:val="0"/>
          <w:sz w:val="32"/>
          <w:szCs w:val="32"/>
        </w:rPr>
        <w:t>三</w:t>
      </w:r>
      <w:r>
        <w:rPr>
          <w:rFonts w:hAnsi="黑体" w:eastAsia="黑体"/>
          <w:kern w:val="0"/>
          <w:sz w:val="32"/>
          <w:szCs w:val="32"/>
        </w:rPr>
        <w:t>部分</w:t>
      </w:r>
      <w:r>
        <w:rPr>
          <w:rFonts w:hint="eastAsia" w:hAnsi="黑体" w:eastAsia="黑体"/>
          <w:kern w:val="0"/>
          <w:sz w:val="32"/>
          <w:szCs w:val="32"/>
        </w:rPr>
        <w:t xml:space="preserve"> </w:t>
      </w:r>
      <w:r>
        <w:rPr>
          <w:rFonts w:hint="eastAsia" w:ascii="黑体" w:eastAsia="黑体"/>
          <w:sz w:val="32"/>
          <w:szCs w:val="32"/>
        </w:rPr>
        <w:t>机关运行经费安排情况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关运行经费安排113.01万元，主要用于保证机关正常运转的办公及印刷费、邮电费、差旅费、会议费、福利费、专用材料费及一般设备购置费、办公用房水电费、办公用房取暖费、日常维修费、公务用车运行维护费等支出。</w:t>
      </w:r>
    </w:p>
    <w:p>
      <w:pPr>
        <w:rPr>
          <w:rFonts w:hAnsi="黑体" w:eastAsia="黑体"/>
          <w:kern w:val="0"/>
          <w:sz w:val="32"/>
          <w:szCs w:val="32"/>
        </w:rPr>
      </w:pPr>
    </w:p>
    <w:p>
      <w:pPr>
        <w:rPr>
          <w:rFonts w:hAnsi="黑体" w:eastAsia="黑体"/>
          <w:kern w:val="0"/>
          <w:sz w:val="32"/>
          <w:szCs w:val="32"/>
        </w:rPr>
      </w:pPr>
    </w:p>
    <w:p>
      <w:pPr>
        <w:rPr>
          <w:rFonts w:hAnsi="黑体" w:eastAsia="黑体"/>
          <w:spacing w:val="-16"/>
          <w:kern w:val="0"/>
          <w:sz w:val="32"/>
          <w:szCs w:val="32"/>
        </w:rPr>
      </w:pPr>
      <w:r>
        <w:rPr>
          <w:rFonts w:hAnsi="黑体" w:eastAsia="黑体"/>
          <w:kern w:val="0"/>
          <w:sz w:val="32"/>
          <w:szCs w:val="32"/>
        </w:rPr>
        <w:t>第</w:t>
      </w:r>
      <w:r>
        <w:rPr>
          <w:rFonts w:hint="eastAsia" w:hAnsi="黑体" w:eastAsia="黑体"/>
          <w:kern w:val="0"/>
          <w:sz w:val="32"/>
          <w:szCs w:val="32"/>
        </w:rPr>
        <w:t>四</w:t>
      </w:r>
      <w:r>
        <w:rPr>
          <w:rFonts w:hAnsi="黑体" w:eastAsia="黑体"/>
          <w:kern w:val="0"/>
          <w:sz w:val="32"/>
          <w:szCs w:val="32"/>
        </w:rPr>
        <w:t>部分</w:t>
      </w:r>
      <w:r>
        <w:rPr>
          <w:rFonts w:hint="eastAsia" w:hAnsi="黑体" w:eastAsia="黑体"/>
          <w:kern w:val="0"/>
          <w:sz w:val="32"/>
          <w:szCs w:val="32"/>
        </w:rPr>
        <w:t xml:space="preserve"> </w:t>
      </w:r>
      <w:r>
        <w:rPr>
          <w:rFonts w:hint="eastAsia" w:ascii="黑体" w:eastAsia="黑体"/>
          <w:sz w:val="32"/>
          <w:szCs w:val="32"/>
        </w:rPr>
        <w:t>财政拨款“三公”经费预算情况</w:t>
      </w:r>
    </w:p>
    <w:p>
      <w:pPr>
        <w:ind w:left="143" w:leftChars="-310" w:hanging="794" w:hangingChars="276"/>
        <w:rPr>
          <w:rFonts w:ascii="仿宋_GB2312" w:hAnsi="仿宋" w:eastAsia="仿宋_GB2312" w:cs="仿宋_GB2312"/>
          <w:color w:val="000000"/>
          <w:sz w:val="32"/>
          <w:szCs w:val="32"/>
        </w:rPr>
      </w:pPr>
      <w:r>
        <w:rPr>
          <w:rFonts w:hint="eastAsia" w:hAnsi="黑体" w:eastAsia="黑体"/>
          <w:spacing w:val="-16"/>
          <w:kern w:val="0"/>
          <w:sz w:val="32"/>
          <w:szCs w:val="32"/>
        </w:rPr>
        <w:t xml:space="preserve">            </w:t>
      </w:r>
      <w:r>
        <w:rPr>
          <w:rFonts w:hint="eastAsia" w:ascii="仿宋_GB2312" w:hAnsi="仿宋_GB2312" w:eastAsia="仿宋_GB2312" w:cs="仿宋_GB2312"/>
          <w:color w:val="000000"/>
          <w:sz w:val="32"/>
          <w:szCs w:val="32"/>
        </w:rPr>
        <w:t>2019年，部门财政拨款</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三公</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经费预算总额13.64万元，较上年减少10.38万元，其中，公务用车运行维护费6.2万元，较上年减少1万元；公务接待费7.44万元，较上年减少9.38万元。减少的主要原因为：</w:t>
      </w:r>
      <w:r>
        <w:rPr>
          <w:rFonts w:hint="eastAsia" w:ascii="仿宋_GB2312" w:hAnsi="仿宋" w:eastAsia="仿宋_GB2312"/>
          <w:color w:val="212121"/>
          <w:sz w:val="32"/>
          <w:szCs w:val="32"/>
        </w:rPr>
        <w:t>严格按照中央八项规定厉行节约的原则，对三公经费预算支出计划进行了压缩。</w:t>
      </w:r>
    </w:p>
    <w:p>
      <w:pPr>
        <w:ind w:left="232" w:leftChars="-310" w:hanging="883" w:hangingChars="276"/>
        <w:rPr>
          <w:rFonts w:ascii="仿宋_GB2312" w:hAnsi="仿宋" w:eastAsia="仿宋_GB2312"/>
          <w:sz w:val="32"/>
          <w:szCs w:val="32"/>
        </w:rPr>
        <w:sectPr>
          <w:pgSz w:w="16838" w:h="11906" w:orient="landscape"/>
          <w:pgMar w:top="1800" w:right="1440" w:bottom="1800" w:left="1440" w:header="851" w:footer="992" w:gutter="0"/>
          <w:cols w:space="720" w:num="1"/>
          <w:docGrid w:type="lines" w:linePitch="312" w:charSpace="0"/>
        </w:sectPr>
      </w:pPr>
    </w:p>
    <w:p>
      <w:pPr>
        <w:rPr>
          <w:rFonts w:ascii="黑体" w:eastAsia="黑体"/>
          <w:sz w:val="32"/>
          <w:szCs w:val="32"/>
        </w:rPr>
      </w:pPr>
      <w:r>
        <w:rPr>
          <w:rFonts w:hAnsi="黑体" w:eastAsia="黑体"/>
          <w:kern w:val="0"/>
          <w:sz w:val="32"/>
          <w:szCs w:val="32"/>
        </w:rPr>
        <w:t>第</w:t>
      </w:r>
      <w:r>
        <w:rPr>
          <w:rFonts w:hint="eastAsia" w:hAnsi="黑体" w:eastAsia="黑体"/>
          <w:kern w:val="0"/>
          <w:sz w:val="32"/>
          <w:szCs w:val="32"/>
        </w:rPr>
        <w:t>五</w:t>
      </w:r>
      <w:r>
        <w:rPr>
          <w:rFonts w:hAnsi="黑体" w:eastAsia="黑体"/>
          <w:kern w:val="0"/>
          <w:sz w:val="32"/>
          <w:szCs w:val="32"/>
        </w:rPr>
        <w:t>部分</w:t>
      </w:r>
      <w:r>
        <w:rPr>
          <w:rFonts w:hint="eastAsia" w:hAnsi="黑体" w:eastAsia="黑体"/>
          <w:kern w:val="0"/>
          <w:sz w:val="32"/>
          <w:szCs w:val="32"/>
        </w:rPr>
        <w:t xml:space="preserve"> </w:t>
      </w:r>
      <w:r>
        <w:rPr>
          <w:rFonts w:hint="eastAsia" w:ascii="黑体" w:eastAsia="黑体"/>
          <w:sz w:val="32"/>
          <w:szCs w:val="32"/>
        </w:rPr>
        <w:t>绩效预算信息情况</w:t>
      </w:r>
    </w:p>
    <w:p>
      <w:pPr>
        <w:spacing w:line="360" w:lineRule="auto"/>
        <w:ind w:firstLine="640"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总体绩效目标：</w:t>
      </w:r>
    </w:p>
    <w:p>
      <w:pPr>
        <w:pStyle w:val="6"/>
        <w:ind w:left="0" w:leftChars="0" w:firstLine="640"/>
        <w:rPr>
          <w:rFonts w:ascii="仿宋_GB2312" w:hAnsi="宋体" w:eastAsia="仿宋_GB2312"/>
          <w:sz w:val="32"/>
          <w:szCs w:val="32"/>
        </w:rPr>
      </w:pPr>
      <w:r>
        <w:rPr>
          <w:rFonts w:hint="eastAsia" w:ascii="仿宋_GB2312" w:hAnsi="宋体" w:eastAsia="仿宋_GB2312"/>
          <w:sz w:val="32"/>
          <w:szCs w:val="32"/>
        </w:rPr>
        <w:t>按照全市“开放兴市”战略，出口加工区明确了下一步发展目标：即力争两个确保（确保实现整合升级综合保税区，确保在全国海关特殊监管区域排名争先进位）、建设三个基地（建设先进装备制造业基地、冷链物流产业基地和进口商品集散基地）、落实四项保障（抓招商，抓项目，抓服务，抓创新），努力推动出口加工区形成全面开放新格局，为开发区三次创业贡献力量。具体做法是：</w:t>
      </w:r>
    </w:p>
    <w:p>
      <w:pPr>
        <w:pStyle w:val="6"/>
        <w:ind w:left="0" w:leftChars="0" w:firstLine="480" w:firstLineChars="150"/>
        <w:rPr>
          <w:rFonts w:ascii="仿宋_GB2312" w:hAnsi="宋体" w:eastAsia="仿宋_GB2312"/>
          <w:sz w:val="32"/>
          <w:szCs w:val="32"/>
        </w:rPr>
      </w:pPr>
      <w:r>
        <w:rPr>
          <w:rFonts w:hint="eastAsia" w:ascii="仿宋_GB2312" w:hAnsi="宋体" w:eastAsia="仿宋_GB2312"/>
          <w:sz w:val="32"/>
          <w:szCs w:val="32"/>
        </w:rPr>
        <w:t>（一）推进整合升级综合保税区，实现晋级发展</w:t>
      </w:r>
    </w:p>
    <w:p>
      <w:pPr>
        <w:pStyle w:val="6"/>
        <w:ind w:left="0" w:leftChars="0" w:firstLine="640"/>
        <w:rPr>
          <w:rFonts w:ascii="仿宋_GB2312" w:hAnsi="宋体" w:eastAsia="仿宋_GB2312"/>
          <w:sz w:val="32"/>
          <w:szCs w:val="32"/>
        </w:rPr>
      </w:pPr>
      <w:r>
        <w:rPr>
          <w:rFonts w:hint="eastAsia" w:ascii="仿宋_GB2312" w:hAnsi="宋体" w:eastAsia="仿宋_GB2312"/>
          <w:sz w:val="32"/>
          <w:szCs w:val="32"/>
        </w:rPr>
        <w:t>尽快落实土地指标，完成二期封关验收。加快建设查验广场、监管仓库、检疫处理区等检验检疫设施。加强与海关总署等部委沟通，争取支持，全面推进整合升级综合保税区工作。与此同时，加强对综合保税区政策的研究，聘请专业团队研究秦皇岛综合保税区的产业发展规划，引进战略投资人，积极推进项目落地，进而实现出口加工区发展空间扩展和功能提升。</w:t>
      </w:r>
    </w:p>
    <w:p>
      <w:pPr>
        <w:pStyle w:val="6"/>
        <w:ind w:left="0" w:leftChars="0" w:firstLine="480" w:firstLineChars="150"/>
        <w:rPr>
          <w:rFonts w:ascii="仿宋_GB2312" w:hAnsi="宋体" w:eastAsia="仿宋_GB2312"/>
          <w:sz w:val="32"/>
          <w:szCs w:val="32"/>
        </w:rPr>
      </w:pPr>
      <w:r>
        <w:rPr>
          <w:rFonts w:hint="eastAsia" w:ascii="仿宋_GB2312" w:hAnsi="宋体" w:eastAsia="仿宋_GB2312"/>
          <w:sz w:val="32"/>
          <w:szCs w:val="32"/>
        </w:rPr>
        <w:t>（二）推进务实招商，实现可持续发展</w:t>
      </w:r>
    </w:p>
    <w:p>
      <w:pPr>
        <w:pStyle w:val="6"/>
        <w:ind w:left="0" w:leftChars="0" w:firstLine="640"/>
        <w:rPr>
          <w:rFonts w:ascii="仿宋_GB2312" w:hAnsi="宋体" w:eastAsia="仿宋_GB2312"/>
          <w:sz w:val="32"/>
          <w:szCs w:val="32"/>
        </w:rPr>
      </w:pPr>
      <w:r>
        <w:rPr>
          <w:rFonts w:hint="eastAsia" w:ascii="仿宋_GB2312" w:hAnsi="宋体" w:eastAsia="仿宋_GB2312"/>
          <w:sz w:val="32"/>
          <w:szCs w:val="32"/>
        </w:rPr>
        <w:t>积极对接“一带一路”国家发展战略，既注重广撒网式的全面招商，更注重精准招商；既注重区外招商，更注重本土企业延长产业链扩规模的二次创业招商。要加大工作力度，重点对临港产业、物流仓储等项目进行招商，通过海关培训和走访企业等多种措施，切实加强与我市及周边地区进出口企业的沟通联系，促其入区生产经营，实现区企双赢。继续推进中信戴卡保税物流项目，预计今年完成进出口总额2亿美元。在出口加工区建立中信戴卡产业园，年产10万吨铝锭合金、100万只轮毂生产线和30000平方米保税仓库项目正在前期论证中，进而形成轮毂生产、检测、维修、出口产业基地。</w:t>
      </w:r>
    </w:p>
    <w:p>
      <w:pPr>
        <w:pStyle w:val="6"/>
        <w:ind w:left="0" w:leftChars="0" w:firstLine="480" w:firstLineChars="150"/>
        <w:rPr>
          <w:rFonts w:ascii="仿宋_GB2312" w:hAnsi="宋体" w:eastAsia="仿宋_GB2312"/>
          <w:sz w:val="32"/>
          <w:szCs w:val="32"/>
        </w:rPr>
      </w:pPr>
      <w:r>
        <w:rPr>
          <w:rFonts w:hint="eastAsia" w:ascii="仿宋_GB2312" w:hAnsi="宋体" w:eastAsia="仿宋_GB2312"/>
          <w:sz w:val="32"/>
          <w:szCs w:val="32"/>
        </w:rPr>
        <w:t>（三）推进区港、区区联动，实现区域协同发展</w:t>
      </w:r>
    </w:p>
    <w:p>
      <w:pPr>
        <w:pStyle w:val="6"/>
        <w:ind w:left="0" w:leftChars="0" w:firstLine="640"/>
        <w:rPr>
          <w:rFonts w:ascii="仿宋_GB2312" w:hAnsi="宋体" w:eastAsia="仿宋_GB2312"/>
          <w:sz w:val="32"/>
          <w:szCs w:val="32"/>
        </w:rPr>
      </w:pPr>
      <w:r>
        <w:rPr>
          <w:rFonts w:hint="eastAsia" w:ascii="仿宋_GB2312" w:hAnsi="宋体" w:eastAsia="仿宋_GB2312"/>
          <w:sz w:val="32"/>
          <w:szCs w:val="32"/>
        </w:rPr>
        <w:t>出口加工区与山海关港的区港联动是做大做强出口加工区的有效路径。将出口加工区在税收、海关监管等方面的优惠政策和港区交通便利的优势相结合，实现港、区一体化运作，在辐射带动上创造新空间。山海关港的水下工程已基本完工，港区已初具雏形。同时，将出口加工区、开发区东区、山海关临港产业园区统一规划，在区域合作上有新作为。</w:t>
      </w:r>
    </w:p>
    <w:p>
      <w:pPr>
        <w:spacing w:line="360"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职责分类绩效目标：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一）积极协调海关、检验检疫及管委各部门处理企业提出需要解决的事项。协助新设立企业领办及代办前期相关手续；对区内企业开展加工贸易业务进行审批；定期总结上报区内开展加工贸易情况；为各级各部门及企业提供政策咨询服务；负责加工贸易业务审批档案管理；参与区内项目投资洽谈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二）对区内企业进行跟踪管理，及时掌握企业的生产经营情况；协调企业与出口加工区各管理部门及企业与企业之间的关系，及时为企业解决生产经营活动中遇到的问题；组织区内企业参加培训、参展及相关工作；建立和管理企业档案；完成上级各部门交办的调研和总结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三）督察督办、政务联络、应急管理高质量审核公文；及时办理各类文电，确保事项在第一时间得到批示意见；高质量起草的重要讲话及重要文稿；及时起草文件及各类汇报材材、上传下达重要文稿；组织专题调研；承办领导交办的其他事项；及时宣讲国家法律、法规和有关规定，复制推广，先行先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（四）及时进行账务处理，有效编报年度预决算；负责职工各项保险、工资等编报、审核。处理好会议管理、公务接待及政务信息服务工作和网络系统安全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五）参与编制加工区基础设施投资计划；对区内基础设施建设项目进行协调管理；做好区内土地、规划建设方面的统计报表工作；参与区内投资项目的洽谈，做好建设规划管理的总结报告工作。对区内建设项目的有关选址及规划建设方案进行初审；协调处理好企业遇到的相关问题；协调水、暖、电、讯等有关单位为企业及建设项目做好配套服务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（六）保障管委、驻区海关、驻区检验检疫职工工作用餐，保障办公大楼楼内设备设施有效运转做好机关办公区房屋与附属设施的维修维护、值班值宿、防火防盗工作。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_GB2312" w:hAnsi="宋体" w:eastAsia="仿宋_GB2312"/>
          <w:sz w:val="32"/>
        </w:rPr>
      </w:pPr>
      <w:r>
        <w:rPr>
          <w:rFonts w:hint="eastAsia" w:ascii="仿宋_GB2312" w:hAnsi="宋体" w:eastAsia="仿宋_GB2312"/>
          <w:sz w:val="32"/>
        </w:rPr>
        <w:t>（七）执行国家统计标准，贯彻全国统一的基本统计报表制度；掌握区内企业的实际经营情况，汇总统计企业生产经营数据，并定期向加工区管委及统计主管部门上报；根据管理需要，对加工区企业经营情况进行统计分析；在统计主管部门的指导下，组织区内企业统计人员参加统计技能培训；对统计资料进行档案管理。</w:t>
      </w:r>
    </w:p>
    <w:p>
      <w:pPr>
        <w:pStyle w:val="25"/>
        <w:rPr>
          <w:sz w:val="32"/>
          <w:lang w:eastAsia="zh-CN"/>
        </w:rPr>
      </w:pPr>
    </w:p>
    <w:p>
      <w:pPr>
        <w:spacing w:line="360"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二、实现年度发展规划目标的保障措施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b/>
          <w:kern w:val="0"/>
          <w:sz w:val="32"/>
          <w:szCs w:val="32"/>
        </w:rPr>
      </w:pPr>
      <w:r>
        <w:rPr>
          <w:rFonts w:hint="eastAsia" w:ascii="仿宋_GB2312" w:hAnsi="黑体" w:eastAsia="仿宋_GB2312" w:cs="黑体"/>
          <w:b/>
          <w:kern w:val="0"/>
          <w:sz w:val="32"/>
          <w:szCs w:val="32"/>
        </w:rPr>
        <w:t>（一）、推进整合升级综合保税区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kern w:val="0"/>
          <w:sz w:val="32"/>
          <w:szCs w:val="32"/>
        </w:rPr>
      </w:pPr>
      <w:r>
        <w:rPr>
          <w:rFonts w:hint="eastAsia" w:ascii="仿宋_GB2312" w:eastAsia="仿宋_GB2312" w:cs="新宋体"/>
          <w:kern w:val="0"/>
          <w:sz w:val="32"/>
          <w:szCs w:val="32"/>
        </w:rPr>
        <w:t>2016</w:t>
      </w:r>
      <w:r>
        <w:rPr>
          <w:rFonts w:hint="eastAsia" w:ascii="仿宋_GB2312" w:hAnsi="新宋体" w:eastAsia="仿宋_GB2312" w:cs="新宋体"/>
          <w:kern w:val="0"/>
          <w:sz w:val="32"/>
          <w:szCs w:val="32"/>
        </w:rPr>
        <w:t>年9月，按照《海关总署关于河北秦皇岛出口加工区整改意见的函》文件要求，开发区投资近7000万元进行了二期封关建设。二期封关四至范围是：东至辽宁省界、南至青岛道、西至浙江路、北至京沈铁路，规划面积1.37平方公里。依据《海关特殊监管区域基础和监管设施验收标准》，我们组织了两次拆违工作，共拆除违章建筑24处16700平方米，清除果树、松树300余亩，坟头100多个，二期封关土地基本完成七通一平。已建成隔离围墙4390米、巡回道路4390米、6车道智能卡口、143路摄像头监控系统、75对红外线对射报警安防系统及计算机管理系统，基本具备验收条件。按照今年基建计划安排，检疫处理区、查验广场和监管仓库、秦皇岛道、场地平整正在施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kern w:val="0"/>
          <w:sz w:val="32"/>
          <w:szCs w:val="32"/>
        </w:rPr>
      </w:pPr>
      <w:r>
        <w:rPr>
          <w:rFonts w:hint="eastAsia" w:ascii="仿宋_GB2312" w:hAnsi="新宋体" w:eastAsia="仿宋_GB2312" w:cs="新宋体"/>
          <w:kern w:val="0"/>
          <w:sz w:val="32"/>
          <w:szCs w:val="32"/>
        </w:rPr>
        <w:t>综合保税区是政策更优、开放层次更高的海关特殊监管区域。秦皇岛综合保税区总规划面积2.04平方公里，2017年4月11日，市政府向省政府上报了《关于将秦皇岛出口加工区整合升级为秦皇岛综合保税区的请示》。10月19日，国务院批转海关总署会同自然资源部等九部委出具意见。经多方努力，目前，九部委已都表示同意，下一步加工区管委将着力进行升级保税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b/>
          <w:kern w:val="0"/>
          <w:sz w:val="32"/>
          <w:szCs w:val="32"/>
        </w:rPr>
      </w:pPr>
      <w:r>
        <w:rPr>
          <w:rFonts w:hint="eastAsia" w:ascii="仿宋_GB2312" w:hAnsi="黑体" w:eastAsia="仿宋_GB2312" w:cs="黑体"/>
          <w:b/>
          <w:kern w:val="0"/>
          <w:sz w:val="32"/>
          <w:szCs w:val="32"/>
        </w:rPr>
        <w:t>（二）、推进务实招商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kern w:val="0"/>
          <w:sz w:val="32"/>
          <w:szCs w:val="32"/>
        </w:rPr>
      </w:pPr>
      <w:r>
        <w:rPr>
          <w:rFonts w:hint="eastAsia" w:ascii="仿宋_GB2312" w:hAnsi="新宋体" w:eastAsia="仿宋_GB2312" w:cs="新宋体"/>
          <w:kern w:val="0"/>
          <w:sz w:val="32"/>
          <w:szCs w:val="32"/>
        </w:rPr>
        <w:t>出口加工区作为秦皇岛对外开放的前沿和窗口，充分发挥优势，用足用好各项政策，加大招商引资力度，强力推进项目建设，做大做强加工贸易和保税物流规模。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b/>
          <w:kern w:val="0"/>
          <w:sz w:val="32"/>
          <w:szCs w:val="32"/>
        </w:rPr>
      </w:pPr>
      <w:r>
        <w:rPr>
          <w:rFonts w:hint="eastAsia" w:ascii="仿宋_GB2312" w:hAnsi="黑体" w:eastAsia="仿宋_GB2312" w:cs="黑体"/>
          <w:b/>
          <w:kern w:val="0"/>
          <w:sz w:val="32"/>
          <w:szCs w:val="32"/>
        </w:rPr>
        <w:t>（三）、进一步优化营商环境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rPr>
          <w:rFonts w:ascii="仿宋_GB2312" w:eastAsia="仿宋_GB2312"/>
          <w:kern w:val="0"/>
          <w:sz w:val="32"/>
          <w:szCs w:val="32"/>
        </w:rPr>
      </w:pPr>
      <w:r>
        <w:rPr>
          <w:rFonts w:hint="eastAsia" w:ascii="仿宋_GB2312" w:hAnsi="宋体" w:eastAsia="仿宋_GB2312" w:cs="宋体"/>
          <w:kern w:val="0"/>
          <w:sz w:val="32"/>
          <w:szCs w:val="32"/>
        </w:rPr>
        <w:t>进一步</w:t>
      </w:r>
      <w:r>
        <w:rPr>
          <w:rFonts w:hint="eastAsia" w:ascii="仿宋_GB2312" w:hAnsi="新宋体" w:eastAsia="仿宋_GB2312" w:cs="新宋体"/>
          <w:kern w:val="0"/>
          <w:sz w:val="32"/>
          <w:szCs w:val="32"/>
        </w:rPr>
        <w:t>完善管委会、海关、检验检疫“三位一体”的服务机制。对区内在建企业全部采用领办制度，促进项目尽快落地投产。切实解决企业生产生活中遇到的实际困难。加快复制推广自贸区政策，切实提高通关效率，增强核心竞争力。</w:t>
      </w:r>
    </w:p>
    <w:p>
      <w:pPr>
        <w:pStyle w:val="25"/>
        <w:rPr>
          <w:sz w:val="32"/>
          <w:lang w:eastAsia="zh-CN"/>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部门职责及工作活动绩效目标指标：</w:t>
      </w:r>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rPr>
                <w:rFonts w:ascii="方正小标宋_GBK" w:eastAsia="方正小标宋_GBK"/>
                <w:sz w:val="10"/>
                <w:szCs w:val="10"/>
              </w:rPr>
            </w:pPr>
            <w:r>
              <w:rPr>
                <w:rFonts w:ascii="方正小标宋_GBK" w:eastAsia="方正小标宋_GBK"/>
                <w:sz w:val="10"/>
                <w:szCs w:val="10"/>
              </w:rPr>
              <w:t>779</w:t>
            </w:r>
            <w:r>
              <w:rPr>
                <w:rFonts w:hint="eastAsia" w:ascii="方正小标宋_GBK" w:eastAsia="方正小标宋_GBK"/>
                <w:sz w:val="10"/>
                <w:szCs w:val="10"/>
              </w:rPr>
              <w:t>秦皇岛出口加工区管理委员会</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10"/>
                <w:szCs w:val="10"/>
              </w:rPr>
            </w:pPr>
            <w:r>
              <w:rPr>
                <w:rFonts w:hint="eastAsia" w:ascii="方正书宋_GBK" w:eastAsia="方正书宋_GBK"/>
                <w:sz w:val="10"/>
                <w:szCs w:val="10"/>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职责活动</w:t>
            </w:r>
          </w:p>
        </w:tc>
        <w:tc>
          <w:tcPr>
            <w:tcW w:w="1276" w:type="dxa"/>
            <w:vMerge w:val="restart"/>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年度预算数</w:t>
            </w:r>
          </w:p>
        </w:tc>
        <w:tc>
          <w:tcPr>
            <w:tcW w:w="2976" w:type="dxa"/>
            <w:vMerge w:val="restart"/>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内容描述</w:t>
            </w:r>
          </w:p>
        </w:tc>
        <w:tc>
          <w:tcPr>
            <w:tcW w:w="2976" w:type="dxa"/>
            <w:vMerge w:val="restart"/>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绩效目标</w:t>
            </w:r>
          </w:p>
        </w:tc>
        <w:tc>
          <w:tcPr>
            <w:tcW w:w="1417" w:type="dxa"/>
            <w:vMerge w:val="restart"/>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绩效指标</w:t>
            </w:r>
          </w:p>
        </w:tc>
        <w:tc>
          <w:tcPr>
            <w:tcW w:w="2948" w:type="dxa"/>
            <w:gridSpan w:val="4"/>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outlineLvl w:val="0"/>
              <w:rPr>
                <w:sz w:val="10"/>
                <w:szCs w:val="10"/>
              </w:rPr>
            </w:pPr>
          </w:p>
        </w:tc>
        <w:tc>
          <w:tcPr>
            <w:tcW w:w="1276" w:type="dxa"/>
            <w:vMerge w:val="continue"/>
            <w:shd w:val="clear" w:color="auto" w:fill="auto"/>
            <w:vAlign w:val="center"/>
          </w:tcPr>
          <w:p>
            <w:pPr>
              <w:spacing w:line="300" w:lineRule="exact"/>
              <w:outlineLvl w:val="0"/>
              <w:rPr>
                <w:sz w:val="10"/>
                <w:szCs w:val="10"/>
              </w:rPr>
            </w:pPr>
          </w:p>
        </w:tc>
        <w:tc>
          <w:tcPr>
            <w:tcW w:w="2976" w:type="dxa"/>
            <w:vMerge w:val="continue"/>
            <w:shd w:val="clear" w:color="auto" w:fill="auto"/>
            <w:vAlign w:val="center"/>
          </w:tcPr>
          <w:p>
            <w:pPr>
              <w:spacing w:line="300" w:lineRule="exact"/>
              <w:outlineLvl w:val="0"/>
              <w:rPr>
                <w:sz w:val="10"/>
                <w:szCs w:val="10"/>
              </w:rPr>
            </w:pPr>
          </w:p>
        </w:tc>
        <w:tc>
          <w:tcPr>
            <w:tcW w:w="2976" w:type="dxa"/>
            <w:vMerge w:val="continue"/>
            <w:shd w:val="clear" w:color="auto" w:fill="auto"/>
            <w:vAlign w:val="center"/>
          </w:tcPr>
          <w:p>
            <w:pPr>
              <w:spacing w:line="300" w:lineRule="exact"/>
              <w:outlineLvl w:val="0"/>
              <w:rPr>
                <w:sz w:val="10"/>
                <w:szCs w:val="10"/>
              </w:rPr>
            </w:pPr>
          </w:p>
        </w:tc>
        <w:tc>
          <w:tcPr>
            <w:tcW w:w="1417" w:type="dxa"/>
            <w:vMerge w:val="continue"/>
            <w:shd w:val="clear" w:color="auto" w:fill="auto"/>
            <w:vAlign w:val="center"/>
          </w:tcPr>
          <w:p>
            <w:pPr>
              <w:spacing w:line="300" w:lineRule="exact"/>
              <w:outlineLvl w:val="0"/>
              <w:rPr>
                <w:sz w:val="10"/>
                <w:szCs w:val="10"/>
              </w:rPr>
            </w:pPr>
          </w:p>
        </w:tc>
        <w:tc>
          <w:tcPr>
            <w:tcW w:w="737" w:type="dxa"/>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优</w:t>
            </w:r>
          </w:p>
        </w:tc>
        <w:tc>
          <w:tcPr>
            <w:tcW w:w="737" w:type="dxa"/>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良</w:t>
            </w:r>
          </w:p>
        </w:tc>
        <w:tc>
          <w:tcPr>
            <w:tcW w:w="737" w:type="dxa"/>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中</w:t>
            </w:r>
          </w:p>
        </w:tc>
        <w:tc>
          <w:tcPr>
            <w:tcW w:w="737" w:type="dxa"/>
            <w:shd w:val="clear" w:color="auto" w:fill="auto"/>
            <w:vAlign w:val="center"/>
          </w:tcPr>
          <w:p>
            <w:pPr>
              <w:spacing w:line="300" w:lineRule="exact"/>
              <w:jc w:val="center"/>
              <w:rPr>
                <w:rFonts w:ascii="方正书宋_GBK" w:eastAsia="方正书宋_GBK"/>
                <w:b/>
                <w:sz w:val="10"/>
                <w:szCs w:val="10"/>
              </w:rPr>
            </w:pPr>
            <w:r>
              <w:rPr>
                <w:rFonts w:hint="eastAsia" w:ascii="方正书宋_GBK" w:eastAsia="方正书宋_GBK"/>
                <w:b/>
                <w:sz w:val="10"/>
                <w:szCs w:val="10"/>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一、综合管理</w:t>
            </w:r>
          </w:p>
        </w:tc>
        <w:tc>
          <w:tcPr>
            <w:tcW w:w="12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94</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加工区管委的综合协调、后勤服务工作；负责加工区管委文件的编撰、来文、发文的上传下达、档案管理、印信管理工作；负责向加工区内企业宣传国家法律、法规和有关规定；负责出口加工区内企业、服务机构与加工区管委的综合协调工作；负责管委的财务管理、会计核算、计划编制工作；负责管委的接待及外事工作；负责机关车辆的管理和使用；负责管委的网络信息、电子政务工作；负责机关食堂等后勤管理工作；负责加工区办公区域的物业管理、安全保卫工作</w:t>
            </w:r>
            <w:r>
              <w:rPr>
                <w:rFonts w:ascii="方正书宋_GBK" w:eastAsia="方正书宋_GBK"/>
                <w:sz w:val="10"/>
                <w:szCs w:val="10"/>
              </w:rPr>
              <w:t>;</w:t>
            </w:r>
            <w:r>
              <w:rPr>
                <w:rFonts w:hint="eastAsia" w:ascii="方正书宋_GBK" w:eastAsia="方正书宋_GBK"/>
                <w:sz w:val="10"/>
                <w:szCs w:val="10"/>
              </w:rPr>
              <w:t>负责出口加工区内政府统管设施和海关监管大楼设施的维护和修善工作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增强工作的前瞻性、科学性、可操作性；做好综合协调、服务保障全面、先进、可行；组织落实措施得力，调度有序。</w:t>
            </w:r>
          </w:p>
        </w:tc>
        <w:tc>
          <w:tcPr>
            <w:tcW w:w="1417" w:type="dxa"/>
            <w:shd w:val="clear" w:color="auto" w:fill="auto"/>
            <w:vAlign w:val="center"/>
          </w:tcPr>
          <w:p>
            <w:pPr>
              <w:spacing w:line="300" w:lineRule="exact"/>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1</w:t>
            </w:r>
            <w:r>
              <w:rPr>
                <w:rFonts w:hint="eastAsia" w:ascii="方正书宋_GBK" w:eastAsia="方正书宋_GBK"/>
                <w:b/>
                <w:sz w:val="10"/>
                <w:szCs w:val="10"/>
              </w:rPr>
              <w:t>、综合协调、服务保障</w:t>
            </w:r>
          </w:p>
        </w:tc>
        <w:tc>
          <w:tcPr>
            <w:tcW w:w="12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19.9</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负责机关食堂管理工作，保障办公大楼楼内设备设施有效运转及楼内值班工作；协调海关检验检疫及管委各部门处理企业提出的需要解决事项。</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协调海关、检验检疫及管委各部门处理企业提出需要解决的事项</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职工就餐的满意度</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责任事故的发生率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0</w:t>
            </w:r>
            <w:r>
              <w:rPr>
                <w:rFonts w:hint="eastAsia" w:ascii="方正书宋_GBK" w:eastAsia="方正书宋_GBK"/>
                <w:sz w:val="10"/>
                <w:szCs w:val="10"/>
              </w:rPr>
              <w:t>次</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2</w:t>
            </w:r>
            <w:r>
              <w:rPr>
                <w:rFonts w:hint="eastAsia" w:ascii="方正书宋_GBK" w:eastAsia="方正书宋_GBK"/>
                <w:sz w:val="10"/>
                <w:szCs w:val="10"/>
              </w:rPr>
              <w:t>次</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5</w:t>
            </w:r>
            <w:r>
              <w:rPr>
                <w:rFonts w:hint="eastAsia" w:ascii="方正书宋_GBK" w:eastAsia="方正书宋_GBK"/>
                <w:sz w:val="10"/>
                <w:szCs w:val="10"/>
              </w:rPr>
              <w:t>次</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5</w:t>
            </w:r>
            <w:r>
              <w:rPr>
                <w:rFonts w:hint="eastAsia" w:ascii="方正书宋_GBK" w:eastAsia="方正书宋_GBK"/>
                <w:sz w:val="10"/>
                <w:szCs w:val="10"/>
              </w:rPr>
              <w:t>次以上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工作推进和群众满意度</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企业、服务机构与加工区管委的综合协调满意度</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2</w:t>
            </w:r>
            <w:r>
              <w:rPr>
                <w:rFonts w:hint="eastAsia" w:ascii="方正书宋_GBK" w:eastAsia="方正书宋_GBK"/>
                <w:b/>
                <w:sz w:val="10"/>
                <w:szCs w:val="10"/>
              </w:rPr>
              <w:t>、文字起草</w:t>
            </w:r>
          </w:p>
        </w:tc>
        <w:tc>
          <w:tcPr>
            <w:tcW w:w="1276" w:type="dxa"/>
            <w:vMerge w:val="restart"/>
            <w:shd w:val="clear" w:color="auto" w:fill="auto"/>
            <w:vAlign w:val="center"/>
          </w:tcPr>
          <w:p>
            <w:pPr>
              <w:spacing w:line="300" w:lineRule="exact"/>
              <w:rPr>
                <w:rFonts w:ascii="方正书宋_GBK" w:eastAsia="方正书宋_GBK"/>
                <w:sz w:val="10"/>
                <w:szCs w:val="10"/>
              </w:rPr>
            </w:pP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负责加工管委管对内、对外，对上、对下文件起草和编写工作</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高质量起草的重要讲话及重要文稿，及时起草文件及各类汇报材材、年终工作总结和计划，上传下达重要文稿；组织专题调研；承办领导交办的其他事项</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文稿起草及时率</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及时</w:t>
            </w: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不及时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调研完成率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日常业务工作完成率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3</w:t>
            </w:r>
            <w:r>
              <w:rPr>
                <w:rFonts w:hint="eastAsia" w:ascii="方正书宋_GBK" w:eastAsia="方正书宋_GBK"/>
                <w:b/>
                <w:sz w:val="10"/>
                <w:szCs w:val="10"/>
              </w:rPr>
              <w:t>、文件、印信管理</w:t>
            </w:r>
          </w:p>
        </w:tc>
        <w:tc>
          <w:tcPr>
            <w:tcW w:w="1276" w:type="dxa"/>
            <w:shd w:val="clear" w:color="auto" w:fill="auto"/>
            <w:vAlign w:val="center"/>
          </w:tcPr>
          <w:p>
            <w:pPr>
              <w:spacing w:line="300" w:lineRule="exact"/>
              <w:rPr>
                <w:rFonts w:ascii="方正书宋_GBK" w:eastAsia="方正书宋_GBK"/>
                <w:sz w:val="10"/>
                <w:szCs w:val="10"/>
              </w:rPr>
            </w:pP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负责加工区管委来文、发文的上传下达、档案管理、印信管理工作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及时办理各类文电，确保事项在第一时间得到批示意见；传阅各级下发文件，档案管理有序，各类重要文件有备查依据。</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文件管理达标率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4</w:t>
            </w:r>
            <w:r>
              <w:rPr>
                <w:rFonts w:hint="eastAsia" w:ascii="方正书宋_GBK" w:eastAsia="方正书宋_GBK"/>
                <w:b/>
                <w:sz w:val="10"/>
                <w:szCs w:val="10"/>
              </w:rPr>
              <w:t>、督察工作</w:t>
            </w:r>
          </w:p>
        </w:tc>
        <w:tc>
          <w:tcPr>
            <w:tcW w:w="1276" w:type="dxa"/>
            <w:shd w:val="clear" w:color="auto" w:fill="auto"/>
            <w:vAlign w:val="center"/>
          </w:tcPr>
          <w:p>
            <w:pPr>
              <w:spacing w:line="300" w:lineRule="exact"/>
              <w:rPr>
                <w:rFonts w:ascii="方正书宋_GBK" w:eastAsia="方正书宋_GBK"/>
                <w:sz w:val="10"/>
                <w:szCs w:val="10"/>
              </w:rPr>
            </w:pP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负责完成上级部门下达的督察任务，督察报告的编写、落实和上报</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督察督办各类下达文件，组织起草督察报告和事项的落实反馈，准确上报各项督察事项，反馈督察内容。</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日常业务工作完成率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5</w:t>
            </w:r>
            <w:r>
              <w:rPr>
                <w:rFonts w:hint="eastAsia" w:ascii="方正书宋_GBK" w:eastAsia="方正书宋_GBK"/>
                <w:b/>
                <w:sz w:val="10"/>
                <w:szCs w:val="10"/>
              </w:rPr>
              <w:t>、外联工作</w:t>
            </w:r>
          </w:p>
        </w:tc>
        <w:tc>
          <w:tcPr>
            <w:tcW w:w="12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45.5</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负责加工区管委对外联络工作，与开发区管委办公室外办部门的沟通和协调工作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做好出口加工区对外联络工作，与驻区单位和各级部门做好沟通联络，协助管委办公室外联部门做好对外商务联络和外办各项工作职能。</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日常业务工作完成率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6</w:t>
            </w:r>
            <w:r>
              <w:rPr>
                <w:rFonts w:hint="eastAsia" w:ascii="方正书宋_GBK" w:eastAsia="方正书宋_GBK"/>
                <w:b/>
                <w:sz w:val="10"/>
                <w:szCs w:val="10"/>
              </w:rPr>
              <w:t>、应急管理</w:t>
            </w:r>
          </w:p>
        </w:tc>
        <w:tc>
          <w:tcPr>
            <w:tcW w:w="1276" w:type="dxa"/>
            <w:shd w:val="clear" w:color="auto" w:fill="auto"/>
            <w:vAlign w:val="center"/>
          </w:tcPr>
          <w:p>
            <w:pPr>
              <w:spacing w:line="300" w:lineRule="exact"/>
              <w:rPr>
                <w:rFonts w:ascii="方正书宋_GBK" w:eastAsia="方正书宋_GBK"/>
                <w:sz w:val="10"/>
                <w:szCs w:val="10"/>
              </w:rPr>
            </w:pP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负责加工区管委应急管理工作，与开发区管委办应急科室做好沟通协调工作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建立出口加工区有效的应急管理体系，做好大楼的安全保卫工作，在遇突发事件，有行之有效的计划和应对方案，协助管委办应急部门做好联动。</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应急管理工作反应迅捷有效，遇突发事件处理快速得当</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及时</w:t>
            </w: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不及时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7</w:t>
            </w:r>
            <w:r>
              <w:rPr>
                <w:rFonts w:hint="eastAsia" w:ascii="方正书宋_GBK" w:eastAsia="方正书宋_GBK"/>
                <w:b/>
                <w:sz w:val="10"/>
                <w:szCs w:val="10"/>
              </w:rPr>
              <w:t>、政策宣传</w:t>
            </w:r>
          </w:p>
        </w:tc>
        <w:tc>
          <w:tcPr>
            <w:tcW w:w="12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3.3</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负责向加工区内企业宣传国家法律、法规和有关规定</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及时宣讲国家法律、法规和有关规定，复制推广，先行先试</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多渠道、快效率获取最新政策</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及时向企业传达最新政策</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及时</w:t>
            </w: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不及时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企业对国家法律、法规和有关规定认知程度</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8</w:t>
            </w:r>
            <w:r>
              <w:rPr>
                <w:rFonts w:hint="eastAsia" w:ascii="方正书宋_GBK" w:eastAsia="方正书宋_GBK"/>
                <w:b/>
                <w:sz w:val="10"/>
                <w:szCs w:val="10"/>
              </w:rPr>
              <w:t>、财务管理</w:t>
            </w:r>
          </w:p>
        </w:tc>
        <w:tc>
          <w:tcPr>
            <w:tcW w:w="1276" w:type="dxa"/>
            <w:shd w:val="clear" w:color="auto" w:fill="auto"/>
            <w:vAlign w:val="center"/>
          </w:tcPr>
          <w:p>
            <w:pPr>
              <w:spacing w:line="300" w:lineRule="exact"/>
              <w:rPr>
                <w:rFonts w:ascii="方正书宋_GBK" w:eastAsia="方正书宋_GBK"/>
                <w:sz w:val="10"/>
                <w:szCs w:val="10"/>
              </w:rPr>
            </w:pP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负责管委的财务管理、劳资管理、会计核算、计划编制、固定资产管理工作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及时进行账务处理</w:t>
            </w:r>
            <w:bookmarkStart w:id="0" w:name="_GoBack"/>
            <w:bookmarkEnd w:id="0"/>
            <w:r>
              <w:rPr>
                <w:rFonts w:hint="eastAsia" w:ascii="方正书宋_GBK" w:eastAsia="方正书宋_GBK"/>
                <w:sz w:val="10"/>
                <w:szCs w:val="10"/>
              </w:rPr>
              <w:t>，有效编报年度预决算；负责职工各项保险、工资等编报、审核。</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日常工作完成的及时率、准确度</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9</w:t>
            </w:r>
            <w:r>
              <w:rPr>
                <w:rFonts w:hint="eastAsia" w:ascii="方正书宋_GBK" w:eastAsia="方正书宋_GBK"/>
                <w:b/>
                <w:sz w:val="10"/>
                <w:szCs w:val="10"/>
              </w:rPr>
              <w:t>、公务接待</w:t>
            </w:r>
          </w:p>
        </w:tc>
        <w:tc>
          <w:tcPr>
            <w:tcW w:w="12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10</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负责管委的接待及外事工作；负责机关车辆的管理和使用</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会议管理、公务接待、公务用车管理</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会议室正常使用天数</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会议顺利召开率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公务用车安全行驶天数</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10</w:t>
            </w:r>
            <w:r>
              <w:rPr>
                <w:rFonts w:hint="eastAsia" w:ascii="方正书宋_GBK" w:eastAsia="方正书宋_GBK"/>
                <w:b/>
                <w:sz w:val="10"/>
                <w:szCs w:val="10"/>
              </w:rPr>
              <w:t>、网络信息、电子政务</w:t>
            </w:r>
          </w:p>
        </w:tc>
        <w:tc>
          <w:tcPr>
            <w:tcW w:w="12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15.3</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负责管委的网络信息、电子政务工作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政务信息服务工作和网络系统安全</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网络设施正常运行天数</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二、经济管理</w:t>
            </w:r>
          </w:p>
        </w:tc>
        <w:tc>
          <w:tcPr>
            <w:tcW w:w="1276" w:type="dxa"/>
            <w:shd w:val="clear" w:color="auto" w:fill="auto"/>
            <w:vAlign w:val="center"/>
          </w:tcPr>
          <w:p>
            <w:pPr>
              <w:spacing w:line="300" w:lineRule="exact"/>
              <w:rPr>
                <w:rFonts w:ascii="方正书宋_GBK" w:eastAsia="方正书宋_GBK"/>
                <w:sz w:val="10"/>
                <w:szCs w:val="10"/>
              </w:rPr>
            </w:pP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负责出口加工区内加工贸易审批工作；负责区内企业管理服务工作；负责出口加工区统计工作。</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做好经济运行监测分析，企业管理规范有效，统计数据及时、准确。</w:t>
            </w:r>
          </w:p>
        </w:tc>
        <w:tc>
          <w:tcPr>
            <w:tcW w:w="1417" w:type="dxa"/>
            <w:shd w:val="clear" w:color="auto" w:fill="auto"/>
            <w:vAlign w:val="center"/>
          </w:tcPr>
          <w:p>
            <w:pPr>
              <w:spacing w:line="300" w:lineRule="exact"/>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1</w:t>
            </w:r>
            <w:r>
              <w:rPr>
                <w:rFonts w:hint="eastAsia" w:ascii="方正书宋_GBK" w:eastAsia="方正书宋_GBK"/>
                <w:b/>
                <w:sz w:val="10"/>
                <w:szCs w:val="10"/>
              </w:rPr>
              <w:t>、加工贸易业务管理</w:t>
            </w:r>
          </w:p>
        </w:tc>
        <w:tc>
          <w:tcPr>
            <w:tcW w:w="1276" w:type="dxa"/>
            <w:vMerge w:val="restart"/>
            <w:shd w:val="clear" w:color="auto" w:fill="auto"/>
            <w:vAlign w:val="center"/>
          </w:tcPr>
          <w:p>
            <w:pPr>
              <w:spacing w:line="300" w:lineRule="exact"/>
              <w:rPr>
                <w:rFonts w:ascii="方正书宋_GBK" w:eastAsia="方正书宋_GBK"/>
                <w:sz w:val="10"/>
                <w:szCs w:val="10"/>
              </w:rPr>
            </w:pP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区内加工贸易和保税物流业务管理</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为企业提供政策咨询服务</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领办企业注册满意率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出具加工贸易生产能力证明时效性</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两日内完成</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三日内完成</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四日内完成</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超过四日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为企业提供政策咨询服务满意率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2</w:t>
            </w:r>
            <w:r>
              <w:rPr>
                <w:rFonts w:hint="eastAsia" w:ascii="方正书宋_GBK" w:eastAsia="方正书宋_GBK"/>
                <w:b/>
                <w:sz w:val="10"/>
                <w:szCs w:val="10"/>
              </w:rPr>
              <w:t>、企业管理服务</w:t>
            </w:r>
          </w:p>
        </w:tc>
        <w:tc>
          <w:tcPr>
            <w:tcW w:w="1276" w:type="dxa"/>
            <w:vMerge w:val="restart"/>
            <w:shd w:val="clear" w:color="auto" w:fill="auto"/>
            <w:vAlign w:val="center"/>
          </w:tcPr>
          <w:p>
            <w:pPr>
              <w:spacing w:line="300" w:lineRule="exact"/>
              <w:rPr>
                <w:rFonts w:ascii="方正书宋_GBK" w:eastAsia="方正书宋_GBK"/>
                <w:sz w:val="10"/>
                <w:szCs w:val="10"/>
              </w:rPr>
            </w:pP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负责区内企业管理服务及统计工作</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发现并纠正区内企业违法违规经营活动；本着急事急办原则，随机召集海关、检验检疫等驻区单位集体研究解决企业的困难和问题，多渠道开展国家最新政策的宣讲和学习。</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企业问题解决满意度</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统计数据准确率</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两区协会无错误反馈</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两区协会错误反馈一次</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两区协会错误反馈两次</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两区协会错误反馈两次以上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定期走访企业</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每月两次及以上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每月一次</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两月一次</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超过两个月一次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三、建设规划</w:t>
            </w:r>
          </w:p>
        </w:tc>
        <w:tc>
          <w:tcPr>
            <w:tcW w:w="1276" w:type="dxa"/>
            <w:shd w:val="clear" w:color="auto" w:fill="auto"/>
            <w:vAlign w:val="center"/>
          </w:tcPr>
          <w:p>
            <w:pPr>
              <w:spacing w:line="300" w:lineRule="exact"/>
              <w:rPr>
                <w:rFonts w:ascii="方正书宋_GBK" w:eastAsia="方正书宋_GBK"/>
                <w:sz w:val="10"/>
                <w:szCs w:val="10"/>
              </w:rPr>
            </w:pP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项目的选址定点；负责区内建设项目的规划初审和上报工作；参与编制基础设施投资计划；负责区内基础设施建设的申报和管理；负责规划、建设管理的总结、报告、统计、报表工作；协助办理建设项目的开工审批和招投标工作；参与加工区管委投资项目的预算审查；协调水、暖、电力、通讯等有关单位做好区内项目的配套服务。</w:t>
            </w:r>
          </w:p>
        </w:tc>
        <w:tc>
          <w:tcPr>
            <w:tcW w:w="2976"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及时、准确、全面编制好加工区基础设施投资计划；对建设项目的规划建设方案及时初审并上报；及时协调处理好企业遇到的问题；督促协调落实好基础设施投资计划。</w:t>
            </w:r>
          </w:p>
        </w:tc>
        <w:tc>
          <w:tcPr>
            <w:tcW w:w="1417" w:type="dxa"/>
            <w:shd w:val="clear" w:color="auto" w:fill="auto"/>
            <w:vAlign w:val="center"/>
          </w:tcPr>
          <w:p>
            <w:pPr>
              <w:spacing w:line="300" w:lineRule="exact"/>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c>
          <w:tcPr>
            <w:tcW w:w="737" w:type="dxa"/>
            <w:shd w:val="clear" w:color="auto" w:fill="auto"/>
            <w:vAlign w:val="center"/>
          </w:tcPr>
          <w:p>
            <w:pPr>
              <w:spacing w:line="300" w:lineRule="exact"/>
              <w:jc w:val="center"/>
              <w:rPr>
                <w:rFonts w:ascii="方正书宋_GBK" w:eastAsia="方正书宋_GBK"/>
                <w:sz w:val="10"/>
                <w:szCs w:val="1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1</w:t>
            </w:r>
            <w:r>
              <w:rPr>
                <w:rFonts w:hint="eastAsia" w:ascii="方正书宋_GBK" w:eastAsia="方正书宋_GBK"/>
                <w:b/>
                <w:sz w:val="10"/>
                <w:szCs w:val="10"/>
              </w:rPr>
              <w:t>、建设规划</w:t>
            </w:r>
          </w:p>
        </w:tc>
        <w:tc>
          <w:tcPr>
            <w:tcW w:w="1276" w:type="dxa"/>
            <w:vMerge w:val="restart"/>
            <w:shd w:val="clear" w:color="auto" w:fill="auto"/>
            <w:vAlign w:val="center"/>
          </w:tcPr>
          <w:p>
            <w:pPr>
              <w:spacing w:line="300" w:lineRule="exact"/>
              <w:rPr>
                <w:rFonts w:ascii="方正书宋_GBK" w:eastAsia="方正书宋_GBK"/>
                <w:sz w:val="10"/>
                <w:szCs w:val="10"/>
              </w:rPr>
            </w:pP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负责加工区基建计划的申请上报；负责做好区内土地、规划建设方面的统计报表工作；；参与建设项目的选址及规划方案初审；参与区内基础设施建设项目进行协调管理</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区内基础设施建设项目进行协调管理</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r>
              <w:rPr>
                <w:rFonts w:hint="eastAsia" w:ascii="方正书宋_GBK" w:eastAsia="方正书宋_GBK"/>
                <w:sz w:val="10"/>
                <w:szCs w:val="10"/>
              </w:rPr>
              <w:t>；</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850%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统计报表准确率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98%</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95%</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85%</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建设单位满意度</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满意</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比较满意</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一般</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不满意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rPr>
                <w:rFonts w:ascii="方正书宋_GBK" w:eastAsia="方正书宋_GBK"/>
                <w:b/>
                <w:sz w:val="10"/>
                <w:szCs w:val="10"/>
              </w:rPr>
            </w:pPr>
            <w:r>
              <w:rPr>
                <w:rFonts w:hint="eastAsia" w:ascii="方正书宋_GBK" w:eastAsia="方正书宋_GBK"/>
                <w:b/>
                <w:sz w:val="10"/>
                <w:szCs w:val="10"/>
              </w:rPr>
              <w:t>　　</w:t>
            </w:r>
            <w:r>
              <w:rPr>
                <w:rFonts w:ascii="方正书宋_GBK" w:eastAsia="方正书宋_GBK"/>
                <w:b/>
                <w:sz w:val="10"/>
                <w:szCs w:val="10"/>
              </w:rPr>
              <w:t>2</w:t>
            </w:r>
            <w:r>
              <w:rPr>
                <w:rFonts w:hint="eastAsia" w:ascii="方正书宋_GBK" w:eastAsia="方正书宋_GBK"/>
                <w:b/>
                <w:sz w:val="10"/>
                <w:szCs w:val="10"/>
              </w:rPr>
              <w:t>、项目服务</w:t>
            </w:r>
          </w:p>
        </w:tc>
        <w:tc>
          <w:tcPr>
            <w:tcW w:w="1276" w:type="dxa"/>
            <w:vMerge w:val="restart"/>
            <w:shd w:val="clear" w:color="auto" w:fill="auto"/>
            <w:vAlign w:val="center"/>
          </w:tcPr>
          <w:p>
            <w:pPr>
              <w:spacing w:line="300" w:lineRule="exact"/>
              <w:rPr>
                <w:rFonts w:ascii="方正书宋_GBK" w:eastAsia="方正书宋_GBK"/>
                <w:sz w:val="10"/>
                <w:szCs w:val="10"/>
              </w:rPr>
            </w:pP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协助建设单位办理项目的规划建设相关手续；协调水、暖、电、讯有关单位等为建设项目做好配套服务；协调解决企业遇到的有关问题。</w:t>
            </w:r>
          </w:p>
        </w:tc>
        <w:tc>
          <w:tcPr>
            <w:tcW w:w="2976" w:type="dxa"/>
            <w:vMerge w:val="restart"/>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协调解决企业遇到的有关问题</w:t>
            </w: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办理率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85%</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及时率</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100%</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90%</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85%</w:t>
            </w:r>
            <w:r>
              <w:rPr>
                <w:rFonts w:hint="eastAsia" w:ascii="方正书宋_GBK" w:eastAsia="方正书宋_GBK"/>
                <w:sz w:val="10"/>
                <w:szCs w:val="10"/>
              </w:rPr>
              <w:t>及以上</w:t>
            </w:r>
          </w:p>
        </w:tc>
        <w:tc>
          <w:tcPr>
            <w:tcW w:w="737" w:type="dxa"/>
            <w:shd w:val="clear" w:color="auto" w:fill="auto"/>
            <w:vAlign w:val="center"/>
          </w:tcPr>
          <w:p>
            <w:pPr>
              <w:spacing w:line="300" w:lineRule="exact"/>
              <w:jc w:val="center"/>
              <w:rPr>
                <w:rFonts w:ascii="方正书宋_GBK" w:eastAsia="方正书宋_GBK"/>
                <w:sz w:val="10"/>
                <w:szCs w:val="10"/>
              </w:rPr>
            </w:pPr>
            <w:r>
              <w:rPr>
                <w:rFonts w:ascii="方正书宋_GBK" w:eastAsia="方正书宋_GBK"/>
                <w:sz w:val="10"/>
                <w:szCs w:val="10"/>
              </w:rPr>
              <w:t>80%</w:t>
            </w:r>
            <w:r>
              <w:rPr>
                <w:rFonts w:hint="eastAsia" w:ascii="方正书宋_GBK" w:eastAsia="方正书宋_GBK"/>
                <w:sz w:val="10"/>
                <w:szCs w:val="10"/>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rPr>
                <w:rFonts w:ascii="方正书宋_GBK" w:eastAsia="方正书宋_GBK"/>
                <w:b/>
                <w:sz w:val="10"/>
                <w:szCs w:val="10"/>
              </w:rPr>
            </w:pPr>
          </w:p>
        </w:tc>
        <w:tc>
          <w:tcPr>
            <w:tcW w:w="12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2976" w:type="dxa"/>
            <w:vMerge w:val="continue"/>
            <w:shd w:val="clear" w:color="auto" w:fill="auto"/>
            <w:vAlign w:val="center"/>
          </w:tcPr>
          <w:p>
            <w:pPr>
              <w:spacing w:line="300" w:lineRule="exact"/>
              <w:rPr>
                <w:rFonts w:ascii="方正书宋_GBK" w:eastAsia="方正书宋_GBK"/>
                <w:sz w:val="10"/>
                <w:szCs w:val="10"/>
              </w:rPr>
            </w:pPr>
          </w:p>
        </w:tc>
        <w:tc>
          <w:tcPr>
            <w:tcW w:w="1417" w:type="dxa"/>
            <w:shd w:val="clear" w:color="auto" w:fill="auto"/>
            <w:vAlign w:val="center"/>
          </w:tcPr>
          <w:p>
            <w:pPr>
              <w:spacing w:line="300" w:lineRule="exact"/>
              <w:rPr>
                <w:rFonts w:ascii="方正书宋_GBK" w:eastAsia="方正书宋_GBK"/>
                <w:sz w:val="10"/>
                <w:szCs w:val="10"/>
              </w:rPr>
            </w:pPr>
            <w:r>
              <w:rPr>
                <w:rFonts w:hint="eastAsia" w:ascii="方正书宋_GBK" w:eastAsia="方正书宋_GBK"/>
                <w:sz w:val="10"/>
                <w:szCs w:val="10"/>
              </w:rPr>
              <w:t>企业满意度</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满意</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比较满意</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一般</w:t>
            </w:r>
          </w:p>
        </w:tc>
        <w:tc>
          <w:tcPr>
            <w:tcW w:w="737" w:type="dxa"/>
            <w:shd w:val="clear" w:color="auto" w:fill="auto"/>
            <w:vAlign w:val="center"/>
          </w:tcPr>
          <w:p>
            <w:pPr>
              <w:spacing w:line="300" w:lineRule="exact"/>
              <w:jc w:val="center"/>
              <w:rPr>
                <w:rFonts w:ascii="方正书宋_GBK" w:eastAsia="方正书宋_GBK"/>
                <w:sz w:val="10"/>
                <w:szCs w:val="10"/>
              </w:rPr>
            </w:pPr>
            <w:r>
              <w:rPr>
                <w:rFonts w:hint="eastAsia" w:ascii="方正书宋_GBK" w:eastAsia="方正书宋_GBK"/>
                <w:sz w:val="10"/>
                <w:szCs w:val="10"/>
              </w:rPr>
              <w:t>不满意</w:t>
            </w:r>
          </w:p>
        </w:tc>
      </w:tr>
    </w:tbl>
    <w:p>
      <w:pPr>
        <w:rPr>
          <w:rFonts w:ascii="黑体" w:eastAsia="黑体"/>
          <w:sz w:val="10"/>
          <w:szCs w:val="10"/>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第六部分 政府采购预算情况</w:t>
      </w:r>
    </w:p>
    <w:p>
      <w:pPr>
        <w:ind w:firstLine="640" w:firstLineChars="200"/>
        <w:rPr>
          <w:rFonts w:ascii="仿宋_GB2312" w:eastAsia="仿宋_GB2312"/>
          <w:sz w:val="32"/>
          <w:szCs w:val="32"/>
        </w:rPr>
      </w:pPr>
      <w:r>
        <w:rPr>
          <w:rFonts w:hint="eastAsia" w:ascii="仿宋_GB2312" w:eastAsia="仿宋_GB2312"/>
          <w:sz w:val="32"/>
          <w:szCs w:val="32"/>
        </w:rPr>
        <w:t>2019年无政府采购预算,空表列示。</w:t>
      </w:r>
    </w:p>
    <w:p>
      <w:pPr>
        <w:rPr>
          <w:rFonts w:ascii="仿宋_GB2312" w:hAnsi="仿宋" w:eastAsia="仿宋_GB2312"/>
          <w:spacing w:val="-16"/>
          <w:kern w:val="0"/>
          <w:szCs w:val="21"/>
        </w:rPr>
      </w:pPr>
      <w:r>
        <w:rPr>
          <w:rFonts w:hint="eastAsia" w:ascii="仿宋_GB2312" w:hAnsi="仿宋" w:eastAsia="仿宋_GB2312"/>
          <w:spacing w:val="-16"/>
          <w:kern w:val="0"/>
          <w:sz w:val="28"/>
          <w:szCs w:val="28"/>
        </w:rPr>
        <w:t>秦皇岛出口加工区管理委员会</w:t>
      </w:r>
      <w:r>
        <w:rPr>
          <w:rFonts w:hint="eastAsia" w:ascii="仿宋_GB2312" w:hAnsi="仿宋" w:eastAsia="仿宋_GB2312"/>
          <w:spacing w:val="-16"/>
          <w:kern w:val="0"/>
          <w:sz w:val="32"/>
          <w:szCs w:val="32"/>
        </w:rPr>
        <w:t xml:space="preserve">                                                                   </w:t>
      </w:r>
      <w:r>
        <w:rPr>
          <w:rFonts w:hint="eastAsia" w:ascii="仿宋_GB2312" w:hAnsi="仿宋" w:eastAsia="仿宋_GB2312"/>
          <w:spacing w:val="-16"/>
          <w:kern w:val="0"/>
          <w:szCs w:val="21"/>
        </w:rPr>
        <w:t>单位：万元</w:t>
      </w:r>
    </w:p>
    <w:tbl>
      <w:tblPr>
        <w:tblStyle w:val="7"/>
        <w:tblW w:w="13760" w:type="dxa"/>
        <w:tblInd w:w="95" w:type="dxa"/>
        <w:tblLayout w:type="fixed"/>
        <w:tblCellMar>
          <w:top w:w="0" w:type="dxa"/>
          <w:left w:w="108" w:type="dxa"/>
          <w:bottom w:w="0" w:type="dxa"/>
          <w:right w:w="108" w:type="dxa"/>
        </w:tblCellMar>
      </w:tblPr>
      <w:tblGrid>
        <w:gridCol w:w="1880"/>
        <w:gridCol w:w="108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675" w:hRule="atLeast"/>
        </w:trPr>
        <w:tc>
          <w:tcPr>
            <w:tcW w:w="29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政府采购项目来源</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采购物品名称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数量</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单价</w:t>
            </w:r>
          </w:p>
        </w:tc>
        <w:tc>
          <w:tcPr>
            <w:tcW w:w="7560" w:type="dxa"/>
            <w:gridSpan w:val="7"/>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政府采购金额</w:t>
            </w:r>
          </w:p>
        </w:tc>
      </w:tr>
      <w:tr>
        <w:tblPrEx>
          <w:tblCellMar>
            <w:top w:w="0" w:type="dxa"/>
            <w:left w:w="108" w:type="dxa"/>
            <w:bottom w:w="0" w:type="dxa"/>
            <w:right w:w="108" w:type="dxa"/>
          </w:tblCellMar>
        </w:tblPrEx>
        <w:trPr>
          <w:trHeight w:val="690" w:hRule="atLeast"/>
        </w:trPr>
        <w:tc>
          <w:tcPr>
            <w:tcW w:w="18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项目名称</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预算资金</w:t>
            </w:r>
          </w:p>
        </w:tc>
        <w:tc>
          <w:tcPr>
            <w:tcW w:w="1080" w:type="dxa"/>
            <w:vMerge w:val="continue"/>
            <w:tcBorders>
              <w:top w:val="single" w:color="000000" w:sz="8" w:space="0"/>
              <w:left w:val="single" w:color="000000" w:sz="8" w:space="0"/>
              <w:bottom w:val="single" w:color="000000" w:sz="8" w:space="0"/>
              <w:right w:val="nil"/>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总计</w:t>
            </w:r>
          </w:p>
        </w:tc>
        <w:tc>
          <w:tcPr>
            <w:tcW w:w="5400"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当年部门预算安排资金</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其他渠道资金</w:t>
            </w:r>
          </w:p>
        </w:tc>
      </w:tr>
      <w:tr>
        <w:tblPrEx>
          <w:tblCellMar>
            <w:top w:w="0" w:type="dxa"/>
            <w:left w:w="108" w:type="dxa"/>
            <w:bottom w:w="0" w:type="dxa"/>
            <w:right w:w="108" w:type="dxa"/>
          </w:tblCellMar>
        </w:tblPrEx>
        <w:trPr>
          <w:trHeight w:val="705" w:hRule="atLeast"/>
        </w:trPr>
        <w:tc>
          <w:tcPr>
            <w:tcW w:w="18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nil"/>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合计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一般公共预算拨款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基金预算拨款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财政专户核拨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其他来源收入</w:t>
            </w: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方正书宋_GBK" w:hAnsi="宋体" w:eastAsia="方正书宋_GBK" w:cs="宋体"/>
                <w:b/>
                <w:bCs/>
                <w:kern w:val="0"/>
                <w:szCs w:val="21"/>
              </w:rPr>
            </w:pPr>
          </w:p>
        </w:tc>
      </w:tr>
      <w:tr>
        <w:tblPrEx>
          <w:tblCellMar>
            <w:top w:w="0" w:type="dxa"/>
            <w:left w:w="108" w:type="dxa"/>
            <w:bottom w:w="0" w:type="dxa"/>
            <w:right w:w="108" w:type="dxa"/>
          </w:tblCellMar>
        </w:tblPrEx>
        <w:trPr>
          <w:trHeight w:val="780" w:hRule="atLeast"/>
        </w:trPr>
        <w:tc>
          <w:tcPr>
            <w:tcW w:w="1880" w:type="dxa"/>
            <w:tcBorders>
              <w:top w:val="nil"/>
              <w:left w:val="single" w:color="000000" w:sz="8" w:space="0"/>
              <w:bottom w:val="nil"/>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秦皇岛出口加工区管理委员会小计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r>
      <w:tr>
        <w:tblPrEx>
          <w:tblCellMar>
            <w:top w:w="0" w:type="dxa"/>
            <w:left w:w="108" w:type="dxa"/>
            <w:bottom w:w="0" w:type="dxa"/>
            <w:right w:w="108" w:type="dxa"/>
          </w:tblCellMar>
        </w:tblPrEx>
        <w:trPr>
          <w:trHeight w:val="690" w:hRule="atLeast"/>
        </w:trPr>
        <w:tc>
          <w:tcPr>
            <w:tcW w:w="1880" w:type="dxa"/>
            <w:tcBorders>
              <w:top w:val="single" w:color="auto" w:sz="8" w:space="0"/>
              <w:left w:val="single" w:color="auto" w:sz="8" w:space="0"/>
              <w:bottom w:val="single" w:color="auto" w:sz="4" w:space="0"/>
              <w:right w:val="single" w:color="auto" w:sz="8" w:space="0"/>
            </w:tcBorders>
            <w:shd w:val="clear" w:color="auto" w:fill="auto"/>
            <w:vAlign w:val="bottom"/>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CellMar>
            <w:top w:w="0" w:type="dxa"/>
            <w:left w:w="108" w:type="dxa"/>
            <w:bottom w:w="0" w:type="dxa"/>
            <w:right w:w="108" w:type="dxa"/>
          </w:tblCellMar>
        </w:tblPrEx>
        <w:trPr>
          <w:trHeight w:val="1155" w:hRule="atLeast"/>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r>
    </w:tbl>
    <w:p>
      <w:pPr>
        <w:rPr>
          <w:rFonts w:hAnsi="黑体" w:eastAsia="黑体"/>
          <w:spacing w:val="-16"/>
          <w:kern w:val="0"/>
          <w:sz w:val="32"/>
          <w:szCs w:val="32"/>
        </w:rPr>
        <w:sectPr>
          <w:pgSz w:w="16838" w:h="11906" w:orient="landscape"/>
          <w:pgMar w:top="1797" w:right="1440" w:bottom="1797" w:left="1440" w:header="851" w:footer="992" w:gutter="0"/>
          <w:cols w:space="720" w:num="1"/>
          <w:docGrid w:type="linesAndChars" w:linePitch="312" w:charSpace="0"/>
        </w:sectPr>
      </w:pPr>
    </w:p>
    <w:p>
      <w:pPr>
        <w:ind w:firstLine="640" w:firstLineChars="200"/>
        <w:rPr>
          <w:rFonts w:ascii="仿宋_GB2312" w:eastAsia="仿宋_GB2312"/>
          <w:sz w:val="32"/>
          <w:szCs w:val="32"/>
        </w:rPr>
      </w:pPr>
    </w:p>
    <w:p>
      <w:pPr>
        <w:rPr>
          <w:rFonts w:eastAsia="黑体"/>
          <w:sz w:val="32"/>
          <w:szCs w:val="32"/>
        </w:rPr>
      </w:pPr>
      <w:r>
        <w:rPr>
          <w:rFonts w:hint="eastAsia" w:eastAsia="黑体"/>
          <w:sz w:val="32"/>
          <w:szCs w:val="32"/>
        </w:rPr>
        <w:t xml:space="preserve">第七部分 </w:t>
      </w:r>
      <w:r>
        <w:rPr>
          <w:rFonts w:eastAsia="黑体"/>
          <w:sz w:val="32"/>
          <w:szCs w:val="32"/>
        </w:rPr>
        <w:t>国有资产信息</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秦皇岛出口加工区管理委员会部门上年末固定资产金额为585.50万元（详见下表）。本年度中部门拟购置固定资产总额为9.92万元，主要用于购置UPS电源和办公设备。因未达到政府采购限额，未列入政府采购预算。</w:t>
      </w:r>
    </w:p>
    <w:tbl>
      <w:tblPr>
        <w:tblStyle w:val="7"/>
        <w:tblpPr w:leftFromText="180" w:rightFromText="180" w:vertAnchor="page" w:horzAnchor="page" w:tblpX="2203" w:tblpY="5574"/>
        <w:tblW w:w="12577" w:type="dxa"/>
        <w:tblInd w:w="0" w:type="dxa"/>
        <w:tblLayout w:type="fixed"/>
        <w:tblCellMar>
          <w:top w:w="0" w:type="dxa"/>
          <w:left w:w="108" w:type="dxa"/>
          <w:bottom w:w="0" w:type="dxa"/>
          <w:right w:w="108" w:type="dxa"/>
        </w:tblCellMar>
      </w:tblPr>
      <w:tblGrid>
        <w:gridCol w:w="4147"/>
        <w:gridCol w:w="2700"/>
        <w:gridCol w:w="5730"/>
      </w:tblGrid>
      <w:tr>
        <w:tblPrEx>
          <w:tblCellMar>
            <w:top w:w="0" w:type="dxa"/>
            <w:left w:w="108" w:type="dxa"/>
            <w:bottom w:w="0" w:type="dxa"/>
            <w:right w:w="108" w:type="dxa"/>
          </w:tblCellMar>
        </w:tblPrEx>
        <w:trPr>
          <w:trHeight w:val="540" w:hRule="atLeast"/>
        </w:trPr>
        <w:tc>
          <w:tcPr>
            <w:tcW w:w="41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项</w:t>
            </w:r>
            <w:r>
              <w:rPr>
                <w:rFonts w:hint="eastAsia" w:ascii="宋体" w:hAnsi="宋体" w:cs="宋体"/>
                <w:b/>
                <w:bCs/>
                <w:color w:val="333333"/>
                <w:kern w:val="0"/>
                <w:sz w:val="22"/>
                <w:szCs w:val="22"/>
              </w:rPr>
              <w:t>   </w:t>
            </w:r>
            <w:r>
              <w:rPr>
                <w:rFonts w:hint="eastAsia" w:ascii="仿宋" w:hAnsi="仿宋" w:eastAsia="仿宋" w:cs="宋体"/>
                <w:b/>
                <w:bCs/>
                <w:color w:val="333333"/>
                <w:kern w:val="0"/>
                <w:sz w:val="22"/>
                <w:szCs w:val="22"/>
              </w:rPr>
              <w:t>目</w:t>
            </w:r>
          </w:p>
        </w:tc>
        <w:tc>
          <w:tcPr>
            <w:tcW w:w="270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数量</w:t>
            </w:r>
          </w:p>
        </w:tc>
        <w:tc>
          <w:tcPr>
            <w:tcW w:w="573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价值（金额单位：万元）</w:t>
            </w:r>
          </w:p>
        </w:tc>
      </w:tr>
      <w:tr>
        <w:tblPrEx>
          <w:tblCellMar>
            <w:top w:w="0" w:type="dxa"/>
            <w:left w:w="108" w:type="dxa"/>
            <w:bottom w:w="0" w:type="dxa"/>
            <w:right w:w="108" w:type="dxa"/>
          </w:tblCellMar>
        </w:tblPrEx>
        <w:trPr>
          <w:trHeight w:val="285" w:hRule="atLeast"/>
        </w:trPr>
        <w:tc>
          <w:tcPr>
            <w:tcW w:w="414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资产总额</w:t>
            </w:r>
          </w:p>
        </w:tc>
        <w:tc>
          <w:tcPr>
            <w:tcW w:w="2700" w:type="dxa"/>
            <w:tcBorders>
              <w:top w:val="nil"/>
              <w:left w:val="nil"/>
              <w:bottom w:val="single" w:color="auto" w:sz="4" w:space="0"/>
              <w:right w:val="single" w:color="auto" w:sz="4" w:space="0"/>
            </w:tcBorders>
            <w:shd w:val="clear" w:color="auto" w:fill="FFFFFF"/>
            <w:vAlign w:val="center"/>
          </w:tcPr>
          <w:p>
            <w:pPr>
              <w:widowControl/>
              <w:jc w:val="center"/>
              <w:rPr>
                <w:rFonts w:hint="default"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560</w:t>
            </w:r>
          </w:p>
        </w:tc>
        <w:tc>
          <w:tcPr>
            <w:tcW w:w="573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585.50</w:t>
            </w:r>
          </w:p>
        </w:tc>
      </w:tr>
      <w:tr>
        <w:tblPrEx>
          <w:tblCellMar>
            <w:top w:w="0" w:type="dxa"/>
            <w:left w:w="108" w:type="dxa"/>
            <w:bottom w:w="0" w:type="dxa"/>
            <w:right w:w="108" w:type="dxa"/>
          </w:tblCellMar>
        </w:tblPrEx>
        <w:trPr>
          <w:trHeight w:val="330" w:hRule="atLeast"/>
        </w:trPr>
        <w:tc>
          <w:tcPr>
            <w:tcW w:w="414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1、房屋（平方米）</w:t>
            </w:r>
          </w:p>
        </w:tc>
        <w:tc>
          <w:tcPr>
            <w:tcW w:w="270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c>
          <w:tcPr>
            <w:tcW w:w="573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r>
      <w:tr>
        <w:tblPrEx>
          <w:tblCellMar>
            <w:top w:w="0" w:type="dxa"/>
            <w:left w:w="108" w:type="dxa"/>
            <w:bottom w:w="0" w:type="dxa"/>
            <w:right w:w="108" w:type="dxa"/>
          </w:tblCellMar>
        </w:tblPrEx>
        <w:trPr>
          <w:trHeight w:val="540" w:hRule="atLeast"/>
        </w:trPr>
        <w:tc>
          <w:tcPr>
            <w:tcW w:w="414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宋体" w:hAnsi="宋体" w:cs="宋体"/>
                <w:color w:val="333333"/>
                <w:kern w:val="0"/>
                <w:sz w:val="22"/>
                <w:szCs w:val="22"/>
              </w:rPr>
              <w:t>   </w:t>
            </w:r>
            <w:r>
              <w:rPr>
                <w:rFonts w:hint="eastAsia" w:ascii="仿宋" w:hAnsi="仿宋" w:eastAsia="仿宋" w:cs="宋体"/>
                <w:color w:val="333333"/>
                <w:kern w:val="0"/>
                <w:sz w:val="22"/>
                <w:szCs w:val="22"/>
              </w:rPr>
              <w:t>其中：办公用房（平方米）</w:t>
            </w:r>
          </w:p>
        </w:tc>
        <w:tc>
          <w:tcPr>
            <w:tcW w:w="270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c>
          <w:tcPr>
            <w:tcW w:w="573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r>
      <w:tr>
        <w:tblPrEx>
          <w:tblCellMar>
            <w:top w:w="0" w:type="dxa"/>
            <w:left w:w="108" w:type="dxa"/>
            <w:bottom w:w="0" w:type="dxa"/>
            <w:right w:w="108" w:type="dxa"/>
          </w:tblCellMar>
        </w:tblPrEx>
        <w:trPr>
          <w:trHeight w:val="285" w:hRule="atLeast"/>
        </w:trPr>
        <w:tc>
          <w:tcPr>
            <w:tcW w:w="414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2、车辆（台、辆）</w:t>
            </w:r>
          </w:p>
        </w:tc>
        <w:tc>
          <w:tcPr>
            <w:tcW w:w="270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eastAsia="zh-CN"/>
              </w:rPr>
            </w:pPr>
            <w:r>
              <w:rPr>
                <w:rFonts w:hint="eastAsia" w:ascii="仿宋" w:hAnsi="仿宋" w:eastAsia="仿宋" w:cs="仿宋"/>
                <w:color w:val="333333"/>
                <w:kern w:val="0"/>
                <w:sz w:val="22"/>
                <w:szCs w:val="22"/>
                <w:lang w:val="en-US" w:eastAsia="zh-CN"/>
              </w:rPr>
              <w:t>5</w:t>
            </w:r>
          </w:p>
        </w:tc>
        <w:tc>
          <w:tcPr>
            <w:tcW w:w="573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rPr>
            </w:pPr>
            <w:r>
              <w:rPr>
                <w:rFonts w:hint="eastAsia" w:ascii="仿宋" w:hAnsi="仿宋" w:eastAsia="仿宋" w:cs="仿宋"/>
                <w:sz w:val="22"/>
                <w:szCs w:val="22"/>
              </w:rPr>
              <w:t>110.52</w:t>
            </w:r>
          </w:p>
        </w:tc>
      </w:tr>
      <w:tr>
        <w:tblPrEx>
          <w:tblCellMar>
            <w:top w:w="0" w:type="dxa"/>
            <w:left w:w="108" w:type="dxa"/>
            <w:bottom w:w="0" w:type="dxa"/>
            <w:right w:w="108" w:type="dxa"/>
          </w:tblCellMar>
        </w:tblPrEx>
        <w:trPr>
          <w:trHeight w:val="540" w:hRule="atLeast"/>
        </w:trPr>
        <w:tc>
          <w:tcPr>
            <w:tcW w:w="414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3、单价在20万元以上的设备</w:t>
            </w:r>
          </w:p>
        </w:tc>
        <w:tc>
          <w:tcPr>
            <w:tcW w:w="270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3</w:t>
            </w:r>
          </w:p>
        </w:tc>
        <w:tc>
          <w:tcPr>
            <w:tcW w:w="573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304.8</w:t>
            </w:r>
          </w:p>
        </w:tc>
      </w:tr>
      <w:tr>
        <w:tblPrEx>
          <w:tblCellMar>
            <w:top w:w="0" w:type="dxa"/>
            <w:left w:w="108" w:type="dxa"/>
            <w:bottom w:w="0" w:type="dxa"/>
            <w:right w:w="108" w:type="dxa"/>
          </w:tblCellMar>
        </w:tblPrEx>
        <w:trPr>
          <w:trHeight w:val="439" w:hRule="atLeast"/>
        </w:trPr>
        <w:tc>
          <w:tcPr>
            <w:tcW w:w="414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4、其他固定资产</w:t>
            </w:r>
          </w:p>
        </w:tc>
        <w:tc>
          <w:tcPr>
            <w:tcW w:w="2700" w:type="dxa"/>
            <w:tcBorders>
              <w:top w:val="nil"/>
              <w:left w:val="nil"/>
              <w:bottom w:val="single" w:color="auto" w:sz="4" w:space="0"/>
              <w:right w:val="single" w:color="auto" w:sz="4" w:space="0"/>
            </w:tcBorders>
            <w:shd w:val="clear" w:color="auto" w:fill="FFFFFF"/>
            <w:vAlign w:val="center"/>
          </w:tcPr>
          <w:p>
            <w:pPr>
              <w:widowControl/>
              <w:jc w:val="center"/>
              <w:rPr>
                <w:rFonts w:hint="default"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552</w:t>
            </w:r>
          </w:p>
        </w:tc>
        <w:tc>
          <w:tcPr>
            <w:tcW w:w="5730" w:type="dxa"/>
            <w:tcBorders>
              <w:top w:val="nil"/>
              <w:left w:val="nil"/>
              <w:bottom w:val="single" w:color="auto" w:sz="4" w:space="0"/>
              <w:right w:val="single" w:color="auto" w:sz="4" w:space="0"/>
            </w:tcBorders>
            <w:shd w:val="clear" w:color="auto" w:fill="FFFFFF"/>
            <w:vAlign w:val="center"/>
          </w:tcPr>
          <w:p>
            <w:pPr>
              <w:widowControl/>
              <w:jc w:val="center"/>
              <w:rPr>
                <w:rFonts w:hint="default"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170.18</w:t>
            </w:r>
          </w:p>
        </w:tc>
      </w:tr>
    </w:tbl>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jc w:val="left"/>
        <w:textAlignment w:val="auto"/>
        <w:outlineLvl w:val="9"/>
        <w:rPr>
          <w:rFonts w:hint="default" w:ascii="仿宋" w:hAnsi="仿宋" w:eastAsia="仿宋" w:cs="仿宋"/>
          <w:sz w:val="22"/>
          <w:szCs w:val="22"/>
          <w:lang w:val="en-US" w:eastAsia="zh-CN"/>
        </w:rPr>
      </w:pPr>
      <w:r>
        <w:rPr>
          <w:rFonts w:hint="eastAsia" w:ascii="仿宋" w:hAnsi="仿宋" w:eastAsia="仿宋" w:cs="仿宋"/>
          <w:sz w:val="22"/>
          <w:szCs w:val="22"/>
          <w:lang w:eastAsia="zh-CN"/>
        </w:rPr>
        <w:t>　　编制部门：秦皇岛出口加工区管理委员会　　　　　　　　　　　　　　　　　　　　　　　　　　　　　截止时间：</w:t>
      </w:r>
      <w:r>
        <w:rPr>
          <w:rFonts w:hint="eastAsia" w:ascii="仿宋" w:hAnsi="仿宋" w:eastAsia="仿宋" w:cs="仿宋"/>
          <w:sz w:val="22"/>
          <w:szCs w:val="22"/>
          <w:lang w:val="en-US" w:eastAsia="zh-CN"/>
        </w:rPr>
        <w:t>2018年12月31日</w:t>
      </w: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ascii="仿宋_GB2312" w:hAnsi="仿宋" w:eastAsia="仿宋_GB2312"/>
          <w:sz w:val="32"/>
          <w:szCs w:val="32"/>
        </w:rPr>
      </w:pPr>
    </w:p>
    <w:p>
      <w:pPr>
        <w:rPr>
          <w:rFonts w:hAnsi="黑体" w:eastAsia="黑体"/>
          <w:spacing w:val="-16"/>
          <w:kern w:val="0"/>
          <w:sz w:val="32"/>
          <w:szCs w:val="32"/>
        </w:rPr>
      </w:pPr>
      <w:r>
        <w:rPr>
          <w:rFonts w:hint="eastAsia" w:eastAsia="黑体"/>
          <w:sz w:val="32"/>
          <w:szCs w:val="32"/>
        </w:rPr>
        <w:t>第八部分 名词解释</w:t>
      </w:r>
    </w:p>
    <w:p>
      <w:pPr>
        <w:ind w:firstLine="643" w:firstLineChars="200"/>
        <w:rPr>
          <w:rFonts w:eastAsia="仿宋_GB2312"/>
          <w:sz w:val="32"/>
          <w:szCs w:val="32"/>
        </w:rPr>
      </w:pPr>
      <w:r>
        <w:rPr>
          <w:rFonts w:hint="eastAsia" w:eastAsia="仿宋_GB2312"/>
          <w:b/>
          <w:sz w:val="32"/>
          <w:szCs w:val="32"/>
        </w:rPr>
        <w:t>1、</w:t>
      </w:r>
      <w:r>
        <w:rPr>
          <w:rFonts w:hint="eastAsia" w:eastAsia="仿宋_GB2312"/>
          <w:b/>
          <w:bCs/>
          <w:sz w:val="32"/>
          <w:szCs w:val="32"/>
        </w:rPr>
        <w:t>财政拨款收入</w:t>
      </w:r>
      <w:r>
        <w:rPr>
          <w:rFonts w:hint="eastAsia" w:eastAsia="仿宋_GB2312"/>
          <w:b/>
          <w:sz w:val="32"/>
          <w:szCs w:val="32"/>
        </w:rPr>
        <w:t>：</w:t>
      </w:r>
      <w:r>
        <w:rPr>
          <w:rFonts w:hint="eastAsia" w:eastAsia="仿宋_GB2312"/>
          <w:sz w:val="32"/>
          <w:szCs w:val="32"/>
        </w:rPr>
        <w:t>指区财政当年拨付的资金。</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2、</w:t>
      </w:r>
      <w:r>
        <w:rPr>
          <w:rFonts w:hint="eastAsia" w:eastAsia="仿宋_GB2312"/>
          <w:b/>
          <w:bCs/>
          <w:sz w:val="32"/>
          <w:szCs w:val="32"/>
        </w:rPr>
        <w:t>一般公共服务（类）政府办公厅（室）及相关机构事务（款）</w:t>
      </w:r>
      <w:r>
        <w:rPr>
          <w:rFonts w:hint="eastAsia" w:eastAsia="仿宋_GB2312"/>
          <w:b/>
          <w:sz w:val="32"/>
          <w:szCs w:val="32"/>
        </w:rPr>
        <w:t>：</w:t>
      </w:r>
      <w:r>
        <w:rPr>
          <w:rFonts w:hint="eastAsia" w:eastAsia="仿宋_GB2312"/>
          <w:sz w:val="32"/>
          <w:szCs w:val="32"/>
        </w:rPr>
        <w:t>指出口加工区管委履行一般公共服务职能的支出。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3、</w:t>
      </w:r>
      <w:r>
        <w:rPr>
          <w:rFonts w:hint="eastAsia" w:eastAsia="仿宋_GB2312"/>
          <w:b/>
          <w:bCs/>
          <w:sz w:val="32"/>
          <w:szCs w:val="32"/>
        </w:rPr>
        <w:t>一般公共服务（类）海关事务（款）：</w:t>
      </w:r>
      <w:r>
        <w:rPr>
          <w:rFonts w:hint="eastAsia" w:eastAsia="仿宋_GB2312"/>
          <w:sz w:val="32"/>
          <w:szCs w:val="32"/>
        </w:rPr>
        <w:t>指秦皇岛海关驻出口加工区办事处履行一般公共服务职能的支出。</w:t>
      </w:r>
      <w:r>
        <w:rPr>
          <w:rFonts w:eastAsia="仿宋_GB2312"/>
          <w:sz w:val="32"/>
          <w:szCs w:val="32"/>
        </w:rPr>
        <w:t xml:space="preserve"> </w:t>
      </w:r>
    </w:p>
    <w:p>
      <w:pPr>
        <w:ind w:firstLine="643" w:firstLineChars="200"/>
        <w:rPr>
          <w:rFonts w:eastAsia="仿宋_GB2312"/>
          <w:b/>
          <w:sz w:val="32"/>
          <w:szCs w:val="32"/>
        </w:rPr>
      </w:pPr>
      <w:r>
        <w:rPr>
          <w:rFonts w:hint="eastAsia" w:eastAsia="仿宋_GB2312"/>
          <w:b/>
          <w:sz w:val="32"/>
          <w:szCs w:val="32"/>
        </w:rPr>
        <w:t>4、</w:t>
      </w:r>
      <w:r>
        <w:rPr>
          <w:rFonts w:hint="eastAsia" w:eastAsia="仿宋_GB2312"/>
          <w:b/>
          <w:bCs/>
          <w:sz w:val="32"/>
          <w:szCs w:val="32"/>
        </w:rPr>
        <w:t>一般公共服务（类）商贸事务（款）招商引资（项）</w:t>
      </w:r>
      <w:r>
        <w:rPr>
          <w:rFonts w:hint="eastAsia" w:eastAsia="仿宋_GB2312"/>
          <w:b/>
          <w:sz w:val="32"/>
          <w:szCs w:val="32"/>
        </w:rPr>
        <w:t>：</w:t>
      </w:r>
      <w:r>
        <w:rPr>
          <w:rFonts w:hint="eastAsia" w:eastAsia="仿宋_GB2312"/>
          <w:sz w:val="32"/>
          <w:szCs w:val="32"/>
        </w:rPr>
        <w:t>指用于履行招商引资职能的支出。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5、</w:t>
      </w:r>
      <w:r>
        <w:rPr>
          <w:rFonts w:hint="eastAsia" w:eastAsia="仿宋_GB2312"/>
          <w:b/>
          <w:bCs/>
          <w:sz w:val="32"/>
          <w:szCs w:val="32"/>
        </w:rPr>
        <w:t>一般公共服务（类）质量技术监督与检验检疫事务（款</w:t>
      </w:r>
      <w:r>
        <w:rPr>
          <w:rFonts w:hint="eastAsia" w:eastAsia="仿宋_GB2312"/>
          <w:b/>
          <w:sz w:val="32"/>
          <w:szCs w:val="32"/>
        </w:rPr>
        <w:t>）：</w:t>
      </w:r>
      <w:r>
        <w:rPr>
          <w:rFonts w:hint="eastAsia" w:eastAsia="仿宋_GB2312"/>
          <w:sz w:val="32"/>
          <w:szCs w:val="32"/>
        </w:rPr>
        <w:t>指秦皇岛检验检疫出口加工区科履行一般公共服务职能的支出。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6、</w:t>
      </w:r>
      <w:r>
        <w:rPr>
          <w:rFonts w:hint="eastAsia" w:eastAsia="仿宋_GB2312"/>
          <w:b/>
          <w:bCs/>
          <w:sz w:val="32"/>
          <w:szCs w:val="32"/>
        </w:rPr>
        <w:t>社会保障和就业（类）行政事业单位离退休（款）</w:t>
      </w:r>
      <w:r>
        <w:rPr>
          <w:rFonts w:hint="eastAsia" w:eastAsia="仿宋_GB2312"/>
          <w:b/>
          <w:sz w:val="32"/>
          <w:szCs w:val="32"/>
        </w:rPr>
        <w:t>：</w:t>
      </w:r>
      <w:r>
        <w:rPr>
          <w:rFonts w:hint="eastAsia" w:eastAsia="仿宋_GB2312"/>
          <w:sz w:val="32"/>
          <w:szCs w:val="32"/>
        </w:rPr>
        <w:t>指人力资源社会保障系统用于机关及所属事业单位离退休人员的经费支出。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（１）</w:t>
      </w:r>
      <w:r>
        <w:rPr>
          <w:rFonts w:hint="eastAsia" w:eastAsia="仿宋_GB2312"/>
          <w:b/>
          <w:bCs/>
          <w:sz w:val="32"/>
          <w:szCs w:val="32"/>
        </w:rPr>
        <w:t>行政单位离退休（项）</w:t>
      </w:r>
      <w:r>
        <w:rPr>
          <w:rFonts w:hint="eastAsia" w:eastAsia="仿宋_GB2312"/>
          <w:b/>
          <w:sz w:val="32"/>
          <w:szCs w:val="32"/>
        </w:rPr>
        <w:t>：</w:t>
      </w:r>
      <w:r>
        <w:rPr>
          <w:rFonts w:hint="eastAsia" w:eastAsia="仿宋_GB2312"/>
          <w:sz w:val="32"/>
          <w:szCs w:val="32"/>
        </w:rPr>
        <w:t>指用于实行归口管理的行政单位与实行公务员管理事业单位开支的离退休经费支出。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（２</w:t>
      </w:r>
      <w:r>
        <w:rPr>
          <w:rFonts w:hint="eastAsia" w:eastAsia="仿宋_GB2312"/>
          <w:b/>
          <w:bCs/>
          <w:sz w:val="32"/>
          <w:szCs w:val="32"/>
        </w:rPr>
        <w:t>）事业单位离退休（项）</w:t>
      </w:r>
      <w:r>
        <w:rPr>
          <w:rFonts w:hint="eastAsia" w:eastAsia="仿宋_GB2312"/>
          <w:b/>
          <w:sz w:val="32"/>
          <w:szCs w:val="32"/>
        </w:rPr>
        <w:t>：</w:t>
      </w:r>
      <w:r>
        <w:rPr>
          <w:rFonts w:hint="eastAsia" w:eastAsia="仿宋_GB2312"/>
          <w:sz w:val="32"/>
          <w:szCs w:val="32"/>
        </w:rPr>
        <w:t>指用于实行归口管理的事业单位离退休经费支出。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（３）</w:t>
      </w:r>
      <w:r>
        <w:rPr>
          <w:rFonts w:hint="eastAsia" w:eastAsia="仿宋_GB2312"/>
          <w:b/>
          <w:bCs/>
          <w:sz w:val="32"/>
          <w:szCs w:val="32"/>
        </w:rPr>
        <w:t>机关事业单位基本养老保险缴费支出（项）</w:t>
      </w:r>
      <w:r>
        <w:rPr>
          <w:rFonts w:hint="eastAsia" w:eastAsia="仿宋_GB2312"/>
          <w:b/>
          <w:sz w:val="32"/>
          <w:szCs w:val="32"/>
        </w:rPr>
        <w:t>：</w:t>
      </w:r>
      <w:r>
        <w:rPr>
          <w:rFonts w:hint="eastAsia" w:eastAsia="仿宋_GB2312"/>
          <w:sz w:val="32"/>
          <w:szCs w:val="32"/>
        </w:rPr>
        <w:t>指用于机关事业单位由单位缴纳的基本养老保险费支出。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7、</w:t>
      </w:r>
      <w:r>
        <w:rPr>
          <w:rFonts w:hint="eastAsia" w:eastAsia="仿宋_GB2312"/>
          <w:b/>
          <w:bCs/>
          <w:sz w:val="32"/>
          <w:szCs w:val="32"/>
        </w:rPr>
        <w:t>医疗卫生与计划生育支出（类）行政事业单位医疗（款）</w:t>
      </w:r>
      <w:r>
        <w:rPr>
          <w:rFonts w:hint="eastAsia" w:eastAsia="仿宋_GB2312"/>
          <w:b/>
          <w:sz w:val="32"/>
          <w:szCs w:val="32"/>
        </w:rPr>
        <w:t>：</w:t>
      </w:r>
      <w:r>
        <w:rPr>
          <w:rFonts w:hint="eastAsia" w:eastAsia="仿宋_GB2312"/>
          <w:sz w:val="32"/>
          <w:szCs w:val="32"/>
        </w:rPr>
        <w:t>指人力资源和社会保障系统用于行政事业单位医疗方面的支出。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（１）</w:t>
      </w:r>
      <w:r>
        <w:rPr>
          <w:rFonts w:hint="eastAsia" w:eastAsia="仿宋_GB2312"/>
          <w:b/>
          <w:bCs/>
          <w:sz w:val="32"/>
          <w:szCs w:val="32"/>
        </w:rPr>
        <w:t>行政单位医疗（项）</w:t>
      </w:r>
      <w:r>
        <w:rPr>
          <w:rFonts w:hint="eastAsia" w:eastAsia="仿宋_GB2312"/>
          <w:b/>
          <w:sz w:val="32"/>
          <w:szCs w:val="32"/>
        </w:rPr>
        <w:t>：</w:t>
      </w:r>
      <w:r>
        <w:rPr>
          <w:rFonts w:hint="eastAsia" w:eastAsia="仿宋_GB2312"/>
          <w:sz w:val="32"/>
          <w:szCs w:val="32"/>
        </w:rPr>
        <w:t>指财政部门集中安排的行政单位基本医疗保险缴费经费。</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8、</w:t>
      </w:r>
      <w:r>
        <w:rPr>
          <w:rFonts w:hint="eastAsia" w:eastAsia="仿宋_GB2312"/>
          <w:b/>
          <w:bCs/>
          <w:sz w:val="32"/>
          <w:szCs w:val="32"/>
        </w:rPr>
        <w:t>住房保障支出（类）住房改革支出（款）住房公积金（项）</w:t>
      </w:r>
      <w:r>
        <w:rPr>
          <w:rFonts w:hint="eastAsia" w:eastAsia="仿宋_GB2312"/>
          <w:b/>
          <w:sz w:val="32"/>
          <w:szCs w:val="32"/>
        </w:rPr>
        <w:t>：</w:t>
      </w:r>
      <w:r>
        <w:rPr>
          <w:rFonts w:hint="eastAsia" w:eastAsia="仿宋_GB2312"/>
          <w:sz w:val="32"/>
          <w:szCs w:val="32"/>
        </w:rPr>
        <w:t>指按照</w:t>
      </w:r>
      <w:r>
        <w:rPr>
          <w:rFonts w:eastAsia="仿宋_GB2312"/>
          <w:sz w:val="32"/>
          <w:szCs w:val="32"/>
        </w:rPr>
        <w:t>《</w:t>
      </w:r>
      <w:r>
        <w:rPr>
          <w:rFonts w:hint="eastAsia" w:eastAsia="仿宋_GB2312"/>
          <w:sz w:val="32"/>
          <w:szCs w:val="32"/>
        </w:rPr>
        <w:t>住房公积金管理条例</w:t>
      </w:r>
      <w:r>
        <w:rPr>
          <w:rFonts w:eastAsia="仿宋_GB2312"/>
          <w:sz w:val="32"/>
          <w:szCs w:val="32"/>
        </w:rPr>
        <w:t>》</w:t>
      </w:r>
      <w:r>
        <w:rPr>
          <w:rFonts w:hint="eastAsia" w:eastAsia="仿宋_GB2312"/>
          <w:sz w:val="32"/>
          <w:szCs w:val="32"/>
        </w:rPr>
        <w:t>的规定，由单位及其在职职工缴存的公积金。</w:t>
      </w:r>
      <w:r>
        <w:rPr>
          <w:rFonts w:eastAsia="仿宋_GB2312"/>
          <w:sz w:val="32"/>
          <w:szCs w:val="32"/>
        </w:rPr>
        <w:t xml:space="preserve"> </w:t>
      </w:r>
    </w:p>
    <w:p>
      <w:pPr>
        <w:ind w:firstLine="643" w:firstLineChars="200"/>
        <w:rPr>
          <w:rFonts w:eastAsia="仿宋_GB2312"/>
          <w:b/>
          <w:sz w:val="32"/>
          <w:szCs w:val="32"/>
        </w:rPr>
      </w:pPr>
      <w:r>
        <w:rPr>
          <w:rFonts w:hint="eastAsia" w:eastAsia="仿宋_GB2312"/>
          <w:b/>
          <w:sz w:val="32"/>
          <w:szCs w:val="32"/>
        </w:rPr>
        <w:t>9、</w:t>
      </w:r>
      <w:r>
        <w:rPr>
          <w:rFonts w:hint="eastAsia" w:eastAsia="仿宋_GB2312"/>
          <w:b/>
          <w:bCs/>
          <w:sz w:val="32"/>
          <w:szCs w:val="32"/>
        </w:rPr>
        <w:t>基本支出：</w:t>
      </w:r>
      <w:r>
        <w:rPr>
          <w:rFonts w:hint="eastAsia" w:eastAsia="仿宋_GB2312"/>
          <w:sz w:val="32"/>
          <w:szCs w:val="32"/>
        </w:rPr>
        <w:t>指为保障机构正常运转、完成日常工作任务而发生的人员支出和公用支出。</w:t>
      </w:r>
      <w:r>
        <w:rPr>
          <w:rFonts w:eastAsia="仿宋_GB2312"/>
          <w:b/>
          <w:sz w:val="32"/>
          <w:szCs w:val="32"/>
        </w:rPr>
        <w:t xml:space="preserve"> </w:t>
      </w:r>
    </w:p>
    <w:p>
      <w:pPr>
        <w:ind w:firstLine="643" w:firstLineChars="200"/>
        <w:rPr>
          <w:rFonts w:eastAsia="仿宋_GB2312"/>
          <w:b/>
          <w:sz w:val="32"/>
          <w:szCs w:val="32"/>
        </w:rPr>
      </w:pPr>
      <w:r>
        <w:rPr>
          <w:rFonts w:hint="eastAsia" w:eastAsia="仿宋_GB2312"/>
          <w:b/>
          <w:sz w:val="32"/>
          <w:szCs w:val="32"/>
        </w:rPr>
        <w:t>10、</w:t>
      </w:r>
      <w:r>
        <w:rPr>
          <w:rFonts w:hint="eastAsia" w:eastAsia="仿宋_GB2312"/>
          <w:b/>
          <w:bCs/>
          <w:sz w:val="32"/>
          <w:szCs w:val="32"/>
        </w:rPr>
        <w:t>项目支出</w:t>
      </w:r>
      <w:r>
        <w:rPr>
          <w:rFonts w:hint="eastAsia" w:eastAsia="仿宋_GB2312"/>
          <w:b/>
          <w:sz w:val="32"/>
          <w:szCs w:val="32"/>
        </w:rPr>
        <w:t>：</w:t>
      </w:r>
      <w:r>
        <w:rPr>
          <w:rFonts w:hint="eastAsia" w:eastAsia="仿宋_GB2312"/>
          <w:sz w:val="32"/>
          <w:szCs w:val="32"/>
        </w:rPr>
        <w:t>指在基本支出之外为完成相关行政任务和事业发展目标所发生的支出。</w:t>
      </w:r>
      <w:r>
        <w:rPr>
          <w:rFonts w:eastAsia="仿宋_GB2312"/>
          <w:b/>
          <w:sz w:val="32"/>
          <w:szCs w:val="32"/>
        </w:rPr>
        <w:t xml:space="preserve"> </w:t>
      </w:r>
    </w:p>
    <w:p>
      <w:pPr>
        <w:ind w:firstLine="643" w:firstLineChars="200"/>
        <w:rPr>
          <w:rFonts w:eastAsia="仿宋_GB2312"/>
          <w:sz w:val="32"/>
          <w:szCs w:val="32"/>
        </w:rPr>
      </w:pPr>
      <w:r>
        <w:rPr>
          <w:rFonts w:hint="eastAsia" w:eastAsia="仿宋_GB2312"/>
          <w:b/>
          <w:sz w:val="32"/>
          <w:szCs w:val="32"/>
        </w:rPr>
        <w:t>11、</w:t>
      </w:r>
      <w:r>
        <w:rPr>
          <w:rFonts w:eastAsia="仿宋_GB2312"/>
          <w:b/>
          <w:bCs/>
          <w:sz w:val="32"/>
          <w:szCs w:val="32"/>
        </w:rPr>
        <w:t>“</w:t>
      </w:r>
      <w:r>
        <w:rPr>
          <w:rFonts w:hint="eastAsia" w:eastAsia="仿宋_GB2312"/>
          <w:b/>
          <w:bCs/>
          <w:sz w:val="32"/>
          <w:szCs w:val="32"/>
        </w:rPr>
        <w:t>三公</w:t>
      </w:r>
      <w:r>
        <w:rPr>
          <w:rFonts w:eastAsia="仿宋_GB2312"/>
          <w:b/>
          <w:bCs/>
          <w:sz w:val="32"/>
          <w:szCs w:val="32"/>
        </w:rPr>
        <w:t>”</w:t>
      </w:r>
      <w:r>
        <w:rPr>
          <w:rFonts w:hint="eastAsia" w:eastAsia="仿宋_GB2312"/>
          <w:b/>
          <w:bCs/>
          <w:sz w:val="32"/>
          <w:szCs w:val="32"/>
        </w:rPr>
        <w:t>经费</w:t>
      </w:r>
      <w:r>
        <w:rPr>
          <w:rFonts w:hint="eastAsia" w:eastAsia="仿宋_GB2312"/>
          <w:b/>
          <w:sz w:val="32"/>
          <w:szCs w:val="32"/>
        </w:rPr>
        <w:t>：</w:t>
      </w:r>
      <w:r>
        <w:rPr>
          <w:rFonts w:hint="eastAsia" w:eastAsia="仿宋_GB2312"/>
          <w:sz w:val="32"/>
          <w:szCs w:val="32"/>
        </w:rPr>
        <w:t>纳入财政预算管理的</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是指用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支出。</w:t>
      </w:r>
      <w:r>
        <w:rPr>
          <w:rFonts w:eastAsia="仿宋_GB2312"/>
          <w:sz w:val="32"/>
          <w:szCs w:val="32"/>
        </w:rPr>
        <w:t xml:space="preserve"> </w:t>
      </w:r>
    </w:p>
    <w:p>
      <w:pPr>
        <w:ind w:firstLine="640" w:firstLineChars="200"/>
        <w:rPr>
          <w:rFonts w:eastAsia="仿宋_GB2312"/>
          <w:sz w:val="32"/>
          <w:szCs w:val="32"/>
        </w:rPr>
      </w:pPr>
    </w:p>
    <w:p>
      <w:pPr>
        <w:ind w:firstLine="640" w:firstLineChars="200"/>
        <w:rPr>
          <w:rFonts w:eastAsia="仿宋_GB2312"/>
          <w:sz w:val="32"/>
          <w:szCs w:val="32"/>
        </w:rPr>
      </w:pPr>
    </w:p>
    <w:p>
      <w:pPr>
        <w:rPr>
          <w:rFonts w:hAnsi="黑体" w:eastAsia="黑体"/>
          <w:spacing w:val="-16"/>
          <w:kern w:val="0"/>
          <w:sz w:val="32"/>
          <w:szCs w:val="32"/>
        </w:rPr>
      </w:pPr>
      <w:r>
        <w:rPr>
          <w:rFonts w:hint="eastAsia" w:eastAsia="黑体"/>
          <w:sz w:val="32"/>
          <w:szCs w:val="32"/>
        </w:rPr>
        <w:t>第九部分 其他需要说明的事项</w:t>
      </w:r>
    </w:p>
    <w:p>
      <w:pPr>
        <w:ind w:firstLine="640" w:firstLineChars="200"/>
        <w:rPr>
          <w:rFonts w:eastAsia="仿宋_GB2312"/>
          <w:sz w:val="32"/>
          <w:szCs w:val="32"/>
        </w:rPr>
      </w:pPr>
      <w:r>
        <w:rPr>
          <w:rFonts w:hint="eastAsia" w:eastAsia="仿宋_GB2312"/>
          <w:sz w:val="32"/>
          <w:szCs w:val="32"/>
        </w:rPr>
        <w:t>我</w:t>
      </w:r>
      <w:r>
        <w:rPr>
          <w:rFonts w:eastAsia="仿宋_GB2312"/>
          <w:sz w:val="32"/>
          <w:szCs w:val="32"/>
        </w:rPr>
        <w:t>部门无其他需要说明的事项</w:t>
      </w:r>
      <w:r>
        <w:rPr>
          <w:rFonts w:hint="eastAsia" w:eastAsia="仿宋_GB2312"/>
          <w:sz w:val="32"/>
          <w:szCs w:val="32"/>
        </w:rPr>
        <w:t>。</w:t>
      </w: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D210D"/>
    <w:multiLevelType w:val="multilevel"/>
    <w:tmpl w:val="398D21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A410C3D"/>
    <w:multiLevelType w:val="multilevel"/>
    <w:tmpl w:val="6A410C3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yZGEwMThhNTM3YTY0N2U2NmY3MzkzODM5YWI5MmIifQ=="/>
    <w:docVar w:name="KSO_WPS_MARK_KEY" w:val="a3e8a27f-98d6-40e7-b823-0bf6cfb1003a"/>
  </w:docVars>
  <w:rsids>
    <w:rsidRoot w:val="35FE6436"/>
    <w:rsid w:val="000104C7"/>
    <w:rsid w:val="00073B77"/>
    <w:rsid w:val="000A2C02"/>
    <w:rsid w:val="000B1906"/>
    <w:rsid w:val="000E2FAD"/>
    <w:rsid w:val="001059AE"/>
    <w:rsid w:val="00133941"/>
    <w:rsid w:val="001372D7"/>
    <w:rsid w:val="0014222F"/>
    <w:rsid w:val="001A7E17"/>
    <w:rsid w:val="001C3704"/>
    <w:rsid w:val="001C7A60"/>
    <w:rsid w:val="001D2AD8"/>
    <w:rsid w:val="001F3960"/>
    <w:rsid w:val="0025155E"/>
    <w:rsid w:val="00253B49"/>
    <w:rsid w:val="002D2745"/>
    <w:rsid w:val="002F295D"/>
    <w:rsid w:val="003306C7"/>
    <w:rsid w:val="0036083D"/>
    <w:rsid w:val="003769AC"/>
    <w:rsid w:val="00391B8A"/>
    <w:rsid w:val="00440025"/>
    <w:rsid w:val="00445644"/>
    <w:rsid w:val="00455666"/>
    <w:rsid w:val="004E3FD4"/>
    <w:rsid w:val="004F462B"/>
    <w:rsid w:val="00506E6D"/>
    <w:rsid w:val="0053009A"/>
    <w:rsid w:val="0054307D"/>
    <w:rsid w:val="00543342"/>
    <w:rsid w:val="00602E57"/>
    <w:rsid w:val="00610A45"/>
    <w:rsid w:val="00623E1D"/>
    <w:rsid w:val="00675F61"/>
    <w:rsid w:val="006A7407"/>
    <w:rsid w:val="006B2D4A"/>
    <w:rsid w:val="006F2D91"/>
    <w:rsid w:val="0071118E"/>
    <w:rsid w:val="0071386C"/>
    <w:rsid w:val="00732B5E"/>
    <w:rsid w:val="00762D14"/>
    <w:rsid w:val="007C37EE"/>
    <w:rsid w:val="007E4761"/>
    <w:rsid w:val="0080576D"/>
    <w:rsid w:val="00850F60"/>
    <w:rsid w:val="008818A8"/>
    <w:rsid w:val="008A714A"/>
    <w:rsid w:val="008C7F9A"/>
    <w:rsid w:val="008E1D1D"/>
    <w:rsid w:val="00914837"/>
    <w:rsid w:val="00926049"/>
    <w:rsid w:val="00927BFD"/>
    <w:rsid w:val="00936005"/>
    <w:rsid w:val="00965F2D"/>
    <w:rsid w:val="00965FF9"/>
    <w:rsid w:val="00990504"/>
    <w:rsid w:val="009D4189"/>
    <w:rsid w:val="009E5D92"/>
    <w:rsid w:val="009F540B"/>
    <w:rsid w:val="00A24022"/>
    <w:rsid w:val="00A25EC2"/>
    <w:rsid w:val="00A4123A"/>
    <w:rsid w:val="00A65F57"/>
    <w:rsid w:val="00AF2481"/>
    <w:rsid w:val="00B275E9"/>
    <w:rsid w:val="00B27B96"/>
    <w:rsid w:val="00B45FA2"/>
    <w:rsid w:val="00B51B52"/>
    <w:rsid w:val="00B51DAA"/>
    <w:rsid w:val="00B557BF"/>
    <w:rsid w:val="00B6423C"/>
    <w:rsid w:val="00BE04BE"/>
    <w:rsid w:val="00C14153"/>
    <w:rsid w:val="00C43E4B"/>
    <w:rsid w:val="00C46E5F"/>
    <w:rsid w:val="00C6288E"/>
    <w:rsid w:val="00D521D3"/>
    <w:rsid w:val="00D76768"/>
    <w:rsid w:val="00D76904"/>
    <w:rsid w:val="00D91403"/>
    <w:rsid w:val="00D92683"/>
    <w:rsid w:val="00E72036"/>
    <w:rsid w:val="00E75E00"/>
    <w:rsid w:val="00E95E63"/>
    <w:rsid w:val="00ED54C2"/>
    <w:rsid w:val="00EE7714"/>
    <w:rsid w:val="00F379A4"/>
    <w:rsid w:val="00F54919"/>
    <w:rsid w:val="00FB0858"/>
    <w:rsid w:val="00FB2A95"/>
    <w:rsid w:val="00FC647C"/>
    <w:rsid w:val="0D890C6C"/>
    <w:rsid w:val="0E977AA6"/>
    <w:rsid w:val="1860687C"/>
    <w:rsid w:val="1B141900"/>
    <w:rsid w:val="21C779C5"/>
    <w:rsid w:val="2BA90250"/>
    <w:rsid w:val="3070027F"/>
    <w:rsid w:val="335B38C9"/>
    <w:rsid w:val="35FE6436"/>
    <w:rsid w:val="3C8F50AF"/>
    <w:rsid w:val="48FC10DA"/>
    <w:rsid w:val="4C322AC7"/>
    <w:rsid w:val="4F164DD0"/>
    <w:rsid w:val="525D549D"/>
    <w:rsid w:val="59282E96"/>
    <w:rsid w:val="62050CA5"/>
    <w:rsid w:val="68821834"/>
    <w:rsid w:val="6C3D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9"/>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2"/>
    <w:link w:val="30"/>
    <w:qFormat/>
    <w:uiPriority w:val="0"/>
    <w:pPr>
      <w:ind w:firstLine="420" w:firstLineChars="200"/>
    </w:pPr>
    <w:rPr>
      <w:rFonts w:ascii="Calibri" w:hAnsi="Calibri"/>
      <w:szCs w:val="22"/>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paragraph" w:customStyle="1" w:styleId="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
    <w:name w:val="font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textAlignment w:val="center"/>
    </w:pPr>
    <w:rPr>
      <w:rFonts w:ascii="宋体" w:hAnsi="宋体" w:cs="宋体"/>
      <w:kern w:val="0"/>
      <w:sz w:val="24"/>
    </w:rPr>
  </w:style>
  <w:style w:type="paragraph" w:customStyle="1" w:styleId="18">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jc w:val="center"/>
      <w:textAlignment w:val="center"/>
    </w:pPr>
    <w:rPr>
      <w:rFonts w:ascii="宋体" w:hAnsi="宋体" w:cs="宋体"/>
      <w:kern w:val="0"/>
      <w:sz w:val="24"/>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jc w:val="left"/>
      <w:textAlignment w:val="center"/>
    </w:pPr>
    <w:rPr>
      <w:rFonts w:ascii="宋体" w:hAnsi="宋体" w:cs="宋体"/>
      <w:kern w:val="0"/>
      <w:sz w:val="24"/>
    </w:rPr>
  </w:style>
  <w:style w:type="paragraph" w:customStyle="1" w:styleId="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
    <w:name w:val="Default"/>
    <w:qFormat/>
    <w:uiPriority w:val="0"/>
    <w:pPr>
      <w:widowControl w:val="0"/>
      <w:autoSpaceDE w:val="0"/>
      <w:autoSpaceDN w:val="0"/>
      <w:adjustRightInd w:val="0"/>
    </w:pPr>
    <w:rPr>
      <w:rFonts w:ascii="FZXiaoBiaoSong-B05" w:hAnsi="FZXiaoBiaoSong-B05" w:eastAsia="宋体" w:cs="FZXiaoBiaoSong-B05"/>
      <w:color w:val="000000"/>
      <w:sz w:val="24"/>
      <w:szCs w:val="24"/>
      <w:lang w:val="en-US" w:eastAsia="zh-CN" w:bidi="ar-SA"/>
    </w:rPr>
  </w:style>
  <w:style w:type="paragraph" w:customStyle="1" w:styleId="23">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jc w:val="center"/>
      <w:textAlignment w:val="center"/>
    </w:pPr>
    <w:rPr>
      <w:rFonts w:ascii="宋体" w:hAnsi="宋体" w:cs="宋体"/>
      <w:b/>
      <w:bCs/>
      <w:kern w:val="0"/>
      <w:sz w:val="44"/>
      <w:szCs w:val="44"/>
    </w:rPr>
  </w:style>
  <w:style w:type="paragraph" w:customStyle="1" w:styleId="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5">
    <w:name w:val="[Normal]"/>
    <w:qFormat/>
    <w:uiPriority w:val="0"/>
    <w:rPr>
      <w:rFonts w:ascii="宋体" w:hAnsi="宋体" w:eastAsia="宋体" w:cs="Times New Roman"/>
      <w:sz w:val="24"/>
      <w:lang w:val="en-US" w:eastAsia="en-US" w:bidi="ar-SA"/>
    </w:rPr>
  </w:style>
  <w:style w:type="paragraph" w:customStyle="1" w:styleId="26">
    <w:name w:val="标题 21"/>
    <w:basedOn w:val="1"/>
    <w:next w:val="1"/>
    <w:qFormat/>
    <w:uiPriority w:val="0"/>
    <w:pPr>
      <w:keepNext/>
      <w:keepLines/>
      <w:spacing w:before="120" w:after="120" w:line="560" w:lineRule="exact"/>
      <w:ind w:firstLine="200"/>
    </w:pPr>
    <w:rPr>
      <w:rFonts w:ascii="Cambria" w:hAnsi="Cambria" w:eastAsia="Cambria"/>
      <w:b/>
      <w:kern w:val="0"/>
      <w:sz w:val="32"/>
      <w:szCs w:val="20"/>
      <w:lang w:eastAsia="en-US"/>
    </w:rPr>
  </w:style>
  <w:style w:type="paragraph" w:customStyle="1" w:styleId="27">
    <w:name w:val="标题 11"/>
    <w:basedOn w:val="1"/>
    <w:next w:val="1"/>
    <w:qFormat/>
    <w:uiPriority w:val="0"/>
    <w:pPr>
      <w:keepNext/>
      <w:keepLines/>
      <w:spacing w:before="120" w:after="120" w:line="600" w:lineRule="exact"/>
      <w:ind w:firstLine="200"/>
    </w:pPr>
    <w:rPr>
      <w:rFonts w:eastAsia="Times New Roman"/>
      <w:kern w:val="0"/>
      <w:sz w:val="32"/>
      <w:szCs w:val="20"/>
      <w:lang w:eastAsia="en-US"/>
    </w:rPr>
  </w:style>
  <w:style w:type="paragraph" w:customStyle="1" w:styleId="28">
    <w:name w:val="ÎÞ¼ä¸ô"/>
    <w:basedOn w:val="25"/>
    <w:qFormat/>
    <w:uiPriority w:val="0"/>
    <w:pPr>
      <w:ind w:firstLine="200"/>
      <w:jc w:val="both"/>
    </w:pPr>
    <w:rPr>
      <w:rFonts w:ascii="Calibri" w:hAnsi="Calibri" w:eastAsia="Calibri"/>
      <w:sz w:val="21"/>
    </w:rPr>
  </w:style>
  <w:style w:type="character" w:customStyle="1" w:styleId="29">
    <w:name w:val="正文文本缩进 Char"/>
    <w:basedOn w:val="9"/>
    <w:link w:val="2"/>
    <w:qFormat/>
    <w:uiPriority w:val="0"/>
    <w:rPr>
      <w:rFonts w:ascii="Times New Roman" w:hAnsi="Times New Roman"/>
      <w:kern w:val="2"/>
      <w:sz w:val="21"/>
      <w:szCs w:val="24"/>
    </w:rPr>
  </w:style>
  <w:style w:type="character" w:customStyle="1" w:styleId="30">
    <w:name w:val="正文首行缩进 2 Char"/>
    <w:basedOn w:val="29"/>
    <w:link w:val="6"/>
    <w:qFormat/>
    <w:uiPriority w:val="0"/>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epz</Company>
  <Pages>21</Pages>
  <Words>7322</Words>
  <Characters>7714</Characters>
  <Lines>60</Lines>
  <Paragraphs>17</Paragraphs>
  <TotalTime>18</TotalTime>
  <ScaleCrop>false</ScaleCrop>
  <LinksUpToDate>false</LinksUpToDate>
  <CharactersWithSpaces>7932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2019-02-24T02:26:00Z</dcterms:created>
  <dc:creator>lenovo</dc:creator>
  <cp:lastModifiedBy>褚旭</cp:lastModifiedBy>
  <dcterms:modified xsi:type="dcterms:W3CDTF">2024-04-12T06:34:55Z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277D473BEFF543319EB5B78FDAFF9E0B_12</vt:lpwstr>
  </property>
</Properties>
</file>