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宋体"/>
          <w:b/>
          <w:spacing w:val="-20"/>
          <w:w w:val="66"/>
          <w:sz w:val="84"/>
          <w:szCs w:val="84"/>
        </w:rPr>
      </w:pPr>
    </w:p>
    <w:p>
      <w:pPr>
        <w:jc w:val="center"/>
        <w:rPr>
          <w:b/>
          <w:spacing w:val="-20"/>
          <w:w w:val="66"/>
          <w:sz w:val="84"/>
          <w:szCs w:val="84"/>
        </w:rPr>
      </w:pPr>
      <w:r>
        <w:rPr>
          <w:rFonts w:hint="eastAsia" w:hAnsi="宋体"/>
          <w:b/>
          <w:spacing w:val="-20"/>
          <w:w w:val="66"/>
          <w:sz w:val="84"/>
          <w:szCs w:val="84"/>
        </w:rPr>
        <w:t>秦皇岛出口加工区管理委员会部门</w:t>
      </w:r>
    </w:p>
    <w:p>
      <w:pPr>
        <w:jc w:val="center"/>
        <w:rPr>
          <w:b/>
          <w:spacing w:val="-20"/>
          <w:w w:val="66"/>
          <w:sz w:val="84"/>
          <w:szCs w:val="84"/>
        </w:rPr>
      </w:pPr>
      <w:r>
        <w:rPr>
          <w:b/>
          <w:spacing w:val="-20"/>
          <w:w w:val="66"/>
          <w:sz w:val="84"/>
          <w:szCs w:val="84"/>
        </w:rPr>
        <w:t>2020</w:t>
      </w:r>
      <w:r>
        <w:rPr>
          <w:rFonts w:hAnsi="宋体"/>
          <w:b/>
          <w:spacing w:val="-20"/>
          <w:w w:val="66"/>
          <w:sz w:val="84"/>
          <w:szCs w:val="84"/>
        </w:rPr>
        <w:t>年</w:t>
      </w:r>
      <w:r>
        <w:rPr>
          <w:rFonts w:hint="eastAsia" w:hAnsi="宋体"/>
          <w:b/>
          <w:spacing w:val="-20"/>
          <w:w w:val="66"/>
          <w:sz w:val="84"/>
          <w:szCs w:val="84"/>
        </w:rPr>
        <w:t>预算公开</w:t>
      </w:r>
    </w:p>
    <w:p>
      <w:pPr>
        <w:jc w:val="center"/>
        <w:rPr>
          <w:b/>
          <w:spacing w:val="-20"/>
          <w:w w:val="66"/>
          <w:sz w:val="90"/>
          <w:szCs w:val="90"/>
        </w:rPr>
      </w:pPr>
    </w:p>
    <w:p>
      <w:pPr>
        <w:jc w:val="center"/>
        <w:rPr>
          <w:b/>
          <w:spacing w:val="-20"/>
          <w:w w:val="66"/>
          <w:sz w:val="90"/>
          <w:szCs w:val="90"/>
        </w:rPr>
      </w:pPr>
    </w:p>
    <w:p>
      <w:pPr>
        <w:jc w:val="center"/>
        <w:rPr>
          <w:b/>
          <w:spacing w:val="-20"/>
          <w:w w:val="66"/>
          <w:sz w:val="90"/>
          <w:szCs w:val="90"/>
        </w:rPr>
      </w:pPr>
    </w:p>
    <w:p>
      <w:pPr>
        <w:jc w:val="center"/>
        <w:rPr>
          <w:b/>
          <w:sz w:val="44"/>
          <w:szCs w:val="44"/>
        </w:rPr>
      </w:pPr>
      <w:r>
        <w:rPr>
          <w:rFonts w:hAnsi="宋体"/>
          <w:b/>
          <w:sz w:val="44"/>
          <w:szCs w:val="44"/>
        </w:rPr>
        <w:t>二</w:t>
      </w:r>
      <w:r>
        <w:rPr>
          <w:rFonts w:ascii="宋体" w:hAnsi="宋体"/>
          <w:b/>
          <w:sz w:val="44"/>
          <w:szCs w:val="44"/>
        </w:rPr>
        <w:t>○</w:t>
      </w:r>
      <w:r>
        <w:rPr>
          <w:rFonts w:hint="eastAsia" w:ascii="宋体" w:hAnsi="宋体"/>
          <w:b/>
          <w:sz w:val="44"/>
          <w:szCs w:val="44"/>
        </w:rPr>
        <w:t>二</w:t>
      </w:r>
      <w:r>
        <w:rPr>
          <w:rFonts w:ascii="宋体" w:hAnsi="宋体"/>
          <w:b/>
          <w:sz w:val="44"/>
          <w:szCs w:val="44"/>
        </w:rPr>
        <w:t>○</w:t>
      </w:r>
      <w:r>
        <w:rPr>
          <w:rFonts w:hAnsi="宋体"/>
          <w:b/>
          <w:sz w:val="44"/>
          <w:szCs w:val="44"/>
        </w:rPr>
        <w:t>年</w:t>
      </w:r>
      <w:r>
        <w:rPr>
          <w:rFonts w:hint="eastAsia" w:hAnsi="宋体"/>
          <w:b/>
          <w:sz w:val="44"/>
          <w:szCs w:val="44"/>
        </w:rPr>
        <w:t>二</w:t>
      </w:r>
      <w:r>
        <w:rPr>
          <w:rFonts w:hAnsi="宋体"/>
          <w:b/>
          <w:sz w:val="44"/>
          <w:szCs w:val="44"/>
        </w:rPr>
        <w:t>月</w:t>
      </w:r>
    </w:p>
    <w:p>
      <w:pPr>
        <w:ind w:firstLine="698" w:firstLineChars="158"/>
        <w:jc w:val="center"/>
        <w:rPr>
          <w:b/>
          <w:sz w:val="44"/>
          <w:szCs w:val="44"/>
        </w:rPr>
      </w:pPr>
    </w:p>
    <w:p>
      <w:pPr>
        <w:ind w:firstLine="698" w:firstLineChars="158"/>
        <w:jc w:val="center"/>
        <w:rPr>
          <w:b/>
          <w:sz w:val="44"/>
          <w:szCs w:val="44"/>
        </w:rPr>
      </w:pPr>
    </w:p>
    <w:p>
      <w:pPr>
        <w:ind w:firstLine="698" w:firstLineChars="158"/>
        <w:jc w:val="center"/>
        <w:rPr>
          <w:b/>
          <w:sz w:val="44"/>
          <w:szCs w:val="44"/>
        </w:rPr>
      </w:pPr>
    </w:p>
    <w:p>
      <w:pPr>
        <w:ind w:firstLine="698" w:firstLineChars="158"/>
        <w:jc w:val="center"/>
        <w:rPr>
          <w:b/>
          <w:sz w:val="44"/>
          <w:szCs w:val="44"/>
        </w:rPr>
      </w:pPr>
    </w:p>
    <w:p>
      <w:pPr>
        <w:ind w:firstLine="698" w:firstLineChars="158"/>
        <w:jc w:val="center"/>
        <w:rPr>
          <w:b/>
          <w:sz w:val="44"/>
          <w:szCs w:val="44"/>
        </w:rPr>
      </w:pPr>
    </w:p>
    <w:p>
      <w:pPr>
        <w:ind w:firstLine="698" w:firstLineChars="158"/>
        <w:jc w:val="center"/>
        <w:rPr>
          <w:b/>
          <w:sz w:val="44"/>
          <w:szCs w:val="44"/>
        </w:rPr>
      </w:pPr>
    </w:p>
    <w:p>
      <w:pPr>
        <w:ind w:firstLine="698" w:firstLineChars="158"/>
        <w:jc w:val="center"/>
        <w:rPr>
          <w:b/>
          <w:sz w:val="44"/>
          <w:szCs w:val="44"/>
        </w:rPr>
      </w:pPr>
    </w:p>
    <w:p>
      <w:pPr>
        <w:ind w:firstLine="698" w:firstLineChars="158"/>
        <w:jc w:val="center"/>
        <w:rPr>
          <w:b/>
          <w:sz w:val="44"/>
          <w:szCs w:val="44"/>
        </w:rPr>
      </w:pPr>
    </w:p>
    <w:p>
      <w:pPr>
        <w:ind w:firstLine="698" w:firstLineChars="158"/>
        <w:jc w:val="center"/>
        <w:rPr>
          <w:b/>
          <w:sz w:val="44"/>
          <w:szCs w:val="44"/>
        </w:rPr>
      </w:pPr>
    </w:p>
    <w:p>
      <w:pPr>
        <w:jc w:val="center"/>
        <w:rPr>
          <w:rFonts w:hAnsi="宋体"/>
          <w:b/>
          <w:sz w:val="44"/>
          <w:szCs w:val="44"/>
        </w:rPr>
      </w:pPr>
      <w:r>
        <w:rPr>
          <w:rFonts w:hAnsi="宋体"/>
          <w:b/>
          <w:sz w:val="44"/>
          <w:szCs w:val="44"/>
        </w:rPr>
        <w:t>目</w:t>
      </w:r>
      <w:r>
        <w:rPr>
          <w:rFonts w:hint="eastAsia" w:hAnsi="宋体"/>
          <w:b/>
          <w:sz w:val="44"/>
          <w:szCs w:val="44"/>
        </w:rPr>
        <w:t xml:space="preserve">    </w:t>
      </w:r>
      <w:r>
        <w:rPr>
          <w:rFonts w:hAnsi="宋体"/>
          <w:b/>
          <w:sz w:val="44"/>
          <w:szCs w:val="44"/>
        </w:rPr>
        <w:t>录</w:t>
      </w:r>
    </w:p>
    <w:p>
      <w:pPr>
        <w:jc w:val="center"/>
        <w:rPr>
          <w:b/>
          <w:sz w:val="44"/>
          <w:szCs w:val="44"/>
        </w:rPr>
      </w:pPr>
    </w:p>
    <w:p>
      <w:pPr>
        <w:numPr>
          <w:ilvl w:val="0"/>
          <w:numId w:val="1"/>
        </w:numPr>
        <w:rPr>
          <w:b/>
          <w:sz w:val="32"/>
          <w:szCs w:val="32"/>
        </w:rPr>
      </w:pPr>
      <w:r>
        <w:rPr>
          <w:b/>
          <w:sz w:val="32"/>
          <w:szCs w:val="32"/>
        </w:rPr>
        <w:t>秦皇岛</w:t>
      </w:r>
      <w:r>
        <w:rPr>
          <w:rFonts w:hint="eastAsia"/>
          <w:b/>
          <w:sz w:val="32"/>
          <w:szCs w:val="32"/>
        </w:rPr>
        <w:t>出口加工区管理委员会部门</w:t>
      </w:r>
      <w:r>
        <w:rPr>
          <w:b/>
          <w:sz w:val="32"/>
          <w:szCs w:val="32"/>
        </w:rPr>
        <w:t>20</w:t>
      </w:r>
      <w:r>
        <w:rPr>
          <w:rFonts w:hint="eastAsia"/>
          <w:b/>
          <w:sz w:val="32"/>
          <w:szCs w:val="32"/>
        </w:rPr>
        <w:t>20</w:t>
      </w:r>
      <w:r>
        <w:rPr>
          <w:b/>
          <w:sz w:val="32"/>
          <w:szCs w:val="32"/>
        </w:rPr>
        <w:t>年度部门</w:t>
      </w:r>
      <w:r>
        <w:rPr>
          <w:rFonts w:hint="eastAsia"/>
          <w:b/>
          <w:sz w:val="32"/>
          <w:szCs w:val="32"/>
        </w:rPr>
        <w:t>预算公开</w:t>
      </w:r>
      <w:r>
        <w:rPr>
          <w:b/>
          <w:sz w:val="32"/>
          <w:szCs w:val="32"/>
        </w:rPr>
        <w:t>表</w:t>
      </w:r>
    </w:p>
    <w:p>
      <w:pPr>
        <w:numPr>
          <w:ilvl w:val="0"/>
          <w:numId w:val="2"/>
        </w:numPr>
        <w:rPr>
          <w:rFonts w:ascii="宋体" w:hAnsi="宋体"/>
          <w:kern w:val="0"/>
          <w:sz w:val="32"/>
          <w:szCs w:val="32"/>
        </w:rPr>
      </w:pPr>
      <w:r>
        <w:rPr>
          <w:rFonts w:hint="eastAsia" w:ascii="宋体" w:hAnsi="宋体"/>
          <w:kern w:val="0"/>
          <w:sz w:val="32"/>
          <w:szCs w:val="32"/>
        </w:rPr>
        <w:t>部门预算收支</w:t>
      </w:r>
      <w:r>
        <w:rPr>
          <w:rFonts w:ascii="宋体" w:hAnsi="宋体"/>
          <w:kern w:val="0"/>
          <w:sz w:val="32"/>
          <w:szCs w:val="32"/>
        </w:rPr>
        <w:t>总表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预算收入总表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预算支出总表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预算财政拨款收支总表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预算一般公共预算财政拨款支出表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预算一般公共预算财政拨款基本支出表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预算政府性基金预算财政拨款支出表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w:t>
      </w:r>
      <w:r>
        <w:rPr>
          <w:rFonts w:hint="eastAsia" w:ascii="宋体" w:hAnsi="宋体"/>
          <w:kern w:val="0"/>
          <w:sz w:val="32"/>
          <w:szCs w:val="32"/>
        </w:rPr>
        <w:t>国有资本经营预算</w:t>
      </w:r>
      <w:r>
        <w:rPr>
          <w:rFonts w:ascii="宋体" w:hAnsi="宋体"/>
          <w:kern w:val="0"/>
          <w:sz w:val="32"/>
          <w:szCs w:val="32"/>
        </w:rPr>
        <w:t>财政拨款支出表</w:t>
      </w:r>
    </w:p>
    <w:p>
      <w:pPr>
        <w:numPr>
          <w:ilvl w:val="0"/>
          <w:numId w:val="2"/>
        </w:numPr>
        <w:rPr>
          <w:rFonts w:ascii="宋体" w:hAnsi="宋体"/>
          <w:kern w:val="0"/>
          <w:sz w:val="32"/>
          <w:szCs w:val="32"/>
        </w:rPr>
      </w:pPr>
      <w:r>
        <w:rPr>
          <w:rFonts w:hint="eastAsia" w:ascii="宋体" w:hAnsi="宋体"/>
          <w:kern w:val="0"/>
          <w:sz w:val="32"/>
          <w:szCs w:val="32"/>
        </w:rPr>
        <w:t>部门</w:t>
      </w:r>
      <w:r>
        <w:rPr>
          <w:rFonts w:ascii="宋体" w:hAnsi="宋体"/>
          <w:kern w:val="0"/>
          <w:sz w:val="32"/>
          <w:szCs w:val="32"/>
        </w:rPr>
        <w:t>预算财政拨款“三公”经费支出预算总表</w:t>
      </w:r>
    </w:p>
    <w:p>
      <w:pPr>
        <w:ind w:left="840"/>
        <w:rPr>
          <w:rFonts w:ascii="宋体" w:hAnsi="宋体"/>
          <w:kern w:val="0"/>
          <w:sz w:val="32"/>
          <w:szCs w:val="32"/>
        </w:rPr>
      </w:pPr>
      <w:r>
        <w:rPr>
          <w:rFonts w:hint="eastAsia" w:ascii="宋体" w:hAnsi="宋体"/>
          <w:kern w:val="0"/>
          <w:sz w:val="32"/>
          <w:szCs w:val="32"/>
        </w:rPr>
        <w:t>(以上九张公开表格见20</w:t>
      </w:r>
      <w:r>
        <w:rPr>
          <w:rFonts w:ascii="宋体" w:hAnsi="宋体"/>
          <w:kern w:val="0"/>
          <w:sz w:val="32"/>
          <w:szCs w:val="32"/>
        </w:rPr>
        <w:t>20</w:t>
      </w:r>
      <w:r>
        <w:rPr>
          <w:rFonts w:hint="eastAsia" w:ascii="宋体" w:hAnsi="宋体"/>
          <w:kern w:val="0"/>
          <w:sz w:val="32"/>
          <w:szCs w:val="32"/>
        </w:rPr>
        <w:t>年秦皇岛出口加工区管理委员会部门预算公开表)</w:t>
      </w:r>
    </w:p>
    <w:p>
      <w:pPr>
        <w:ind w:left="840"/>
        <w:rPr>
          <w:rFonts w:hint="eastAsia" w:ascii="宋体" w:hAnsi="宋体"/>
          <w:kern w:val="0"/>
          <w:sz w:val="32"/>
          <w:szCs w:val="32"/>
        </w:rPr>
      </w:pPr>
    </w:p>
    <w:p>
      <w:pPr>
        <w:numPr>
          <w:ilvl w:val="0"/>
          <w:numId w:val="1"/>
        </w:numPr>
        <w:rPr>
          <w:b/>
          <w:sz w:val="32"/>
          <w:szCs w:val="32"/>
        </w:rPr>
      </w:pPr>
      <w:r>
        <w:rPr>
          <w:b/>
          <w:sz w:val="32"/>
          <w:szCs w:val="32"/>
        </w:rPr>
        <w:t>秦皇岛</w:t>
      </w:r>
      <w:r>
        <w:rPr>
          <w:rFonts w:hint="eastAsia"/>
          <w:b/>
          <w:sz w:val="32"/>
          <w:szCs w:val="32"/>
        </w:rPr>
        <w:t>出口加工区管理委员会部门</w:t>
      </w:r>
      <w:r>
        <w:rPr>
          <w:b/>
          <w:sz w:val="32"/>
          <w:szCs w:val="32"/>
        </w:rPr>
        <w:t>20</w:t>
      </w:r>
      <w:r>
        <w:rPr>
          <w:rFonts w:hint="eastAsia"/>
          <w:b/>
          <w:sz w:val="32"/>
          <w:szCs w:val="32"/>
        </w:rPr>
        <w:t>20</w:t>
      </w:r>
      <w:r>
        <w:rPr>
          <w:b/>
          <w:sz w:val="32"/>
          <w:szCs w:val="32"/>
        </w:rPr>
        <w:t>年度</w:t>
      </w:r>
      <w:r>
        <w:rPr>
          <w:rFonts w:hint="eastAsia"/>
          <w:b/>
          <w:sz w:val="32"/>
          <w:szCs w:val="32"/>
        </w:rPr>
        <w:t>部门预算情况说明</w:t>
      </w:r>
    </w:p>
    <w:p>
      <w:pPr>
        <w:ind w:firstLine="640" w:firstLineChars="200"/>
        <w:rPr>
          <w:rFonts w:ascii="宋体" w:hAnsi="宋体"/>
          <w:kern w:val="0"/>
          <w:sz w:val="32"/>
          <w:szCs w:val="32"/>
        </w:rPr>
      </w:pPr>
      <w:r>
        <w:rPr>
          <w:rFonts w:hint="eastAsia" w:ascii="宋体" w:hAnsi="宋体"/>
          <w:kern w:val="0"/>
          <w:sz w:val="32"/>
          <w:szCs w:val="32"/>
        </w:rPr>
        <w:t>1、</w:t>
      </w:r>
      <w:r>
        <w:rPr>
          <w:rFonts w:ascii="宋体" w:hAnsi="宋体"/>
          <w:kern w:val="0"/>
          <w:sz w:val="32"/>
          <w:szCs w:val="32"/>
        </w:rPr>
        <w:t>部门职责</w:t>
      </w:r>
      <w:r>
        <w:rPr>
          <w:rFonts w:hint="eastAsia" w:ascii="宋体" w:hAnsi="宋体"/>
          <w:kern w:val="0"/>
          <w:sz w:val="32"/>
          <w:szCs w:val="32"/>
        </w:rPr>
        <w:t>及机构设置情况</w:t>
      </w:r>
    </w:p>
    <w:p>
      <w:pPr>
        <w:ind w:firstLine="640" w:firstLineChars="200"/>
        <w:rPr>
          <w:rFonts w:ascii="宋体" w:hAnsi="宋体"/>
          <w:sz w:val="32"/>
          <w:szCs w:val="32"/>
        </w:rPr>
      </w:pPr>
      <w:r>
        <w:rPr>
          <w:rFonts w:ascii="宋体" w:hAnsi="宋体"/>
          <w:kern w:val="0"/>
          <w:sz w:val="32"/>
          <w:szCs w:val="32"/>
        </w:rPr>
        <w:t>2</w:t>
      </w:r>
      <w:r>
        <w:rPr>
          <w:rFonts w:hint="eastAsia" w:ascii="宋体" w:hAnsi="宋体"/>
          <w:kern w:val="0"/>
          <w:sz w:val="32"/>
          <w:szCs w:val="32"/>
        </w:rPr>
        <w:t>、</w:t>
      </w:r>
      <w:r>
        <w:rPr>
          <w:rFonts w:hint="eastAsia" w:ascii="宋体" w:hAnsi="宋体"/>
          <w:sz w:val="32"/>
          <w:szCs w:val="32"/>
        </w:rPr>
        <w:t>部门预算安排总体情况</w:t>
      </w:r>
    </w:p>
    <w:p>
      <w:pPr>
        <w:ind w:firstLine="640" w:firstLineChars="200"/>
        <w:rPr>
          <w:rFonts w:ascii="宋体" w:hAnsi="宋体"/>
          <w:sz w:val="32"/>
          <w:szCs w:val="32"/>
        </w:rPr>
      </w:pPr>
      <w:r>
        <w:rPr>
          <w:rFonts w:ascii="宋体" w:hAnsi="宋体"/>
          <w:kern w:val="0"/>
          <w:sz w:val="32"/>
          <w:szCs w:val="32"/>
        </w:rPr>
        <w:t>3</w:t>
      </w:r>
      <w:r>
        <w:rPr>
          <w:rFonts w:hint="eastAsia" w:ascii="宋体" w:hAnsi="宋体"/>
          <w:kern w:val="0"/>
          <w:sz w:val="32"/>
          <w:szCs w:val="32"/>
        </w:rPr>
        <w:t>、</w:t>
      </w:r>
      <w:r>
        <w:rPr>
          <w:rFonts w:hint="eastAsia" w:ascii="宋体" w:hAnsi="宋体"/>
          <w:sz w:val="32"/>
          <w:szCs w:val="32"/>
        </w:rPr>
        <w:t>机关运行经费安排情况</w:t>
      </w:r>
    </w:p>
    <w:p>
      <w:pPr>
        <w:ind w:firstLine="640" w:firstLineChars="200"/>
        <w:rPr>
          <w:rFonts w:ascii="宋体" w:hAnsi="宋体"/>
          <w:sz w:val="32"/>
          <w:szCs w:val="32"/>
        </w:rPr>
      </w:pPr>
      <w:r>
        <w:rPr>
          <w:rFonts w:ascii="宋体" w:hAnsi="宋体"/>
          <w:kern w:val="0"/>
          <w:sz w:val="32"/>
          <w:szCs w:val="32"/>
        </w:rPr>
        <w:t>4</w:t>
      </w:r>
      <w:r>
        <w:rPr>
          <w:rFonts w:hint="eastAsia" w:ascii="宋体" w:hAnsi="宋体"/>
          <w:kern w:val="0"/>
          <w:sz w:val="32"/>
          <w:szCs w:val="32"/>
        </w:rPr>
        <w:t>、</w:t>
      </w:r>
      <w:r>
        <w:rPr>
          <w:rFonts w:hint="eastAsia" w:ascii="宋体" w:hAnsi="宋体"/>
          <w:sz w:val="32"/>
          <w:szCs w:val="32"/>
        </w:rPr>
        <w:t>财政拨款“三公”经费预算情况</w:t>
      </w:r>
    </w:p>
    <w:p>
      <w:pPr>
        <w:ind w:firstLine="640" w:firstLineChars="200"/>
        <w:rPr>
          <w:rFonts w:ascii="宋体" w:hAnsi="宋体"/>
          <w:sz w:val="32"/>
          <w:szCs w:val="32"/>
        </w:rPr>
      </w:pPr>
      <w:r>
        <w:rPr>
          <w:rFonts w:hint="eastAsia" w:ascii="宋体" w:hAnsi="宋体"/>
          <w:sz w:val="32"/>
          <w:szCs w:val="32"/>
        </w:rPr>
        <w:t>5、政府采购预算情况</w:t>
      </w:r>
    </w:p>
    <w:p>
      <w:pPr>
        <w:ind w:firstLine="640" w:firstLineChars="200"/>
        <w:rPr>
          <w:rFonts w:ascii="宋体" w:hAnsi="宋体"/>
          <w:sz w:val="32"/>
          <w:szCs w:val="32"/>
        </w:rPr>
      </w:pPr>
      <w:r>
        <w:rPr>
          <w:rFonts w:hint="eastAsia" w:ascii="宋体" w:hAnsi="宋体"/>
          <w:sz w:val="32"/>
          <w:szCs w:val="32"/>
        </w:rPr>
        <w:t>6、</w:t>
      </w:r>
      <w:r>
        <w:rPr>
          <w:rFonts w:ascii="宋体" w:hAnsi="宋体"/>
          <w:sz w:val="32"/>
          <w:szCs w:val="32"/>
        </w:rPr>
        <w:t>国有资产信息</w:t>
      </w:r>
    </w:p>
    <w:p>
      <w:pPr>
        <w:ind w:firstLine="640" w:firstLineChars="200"/>
        <w:rPr>
          <w:rFonts w:ascii="宋体" w:hAnsi="宋体"/>
          <w:sz w:val="32"/>
          <w:szCs w:val="32"/>
        </w:rPr>
      </w:pPr>
      <w:r>
        <w:rPr>
          <w:rFonts w:hint="eastAsia" w:ascii="宋体" w:hAnsi="宋体"/>
          <w:sz w:val="32"/>
          <w:szCs w:val="32"/>
        </w:rPr>
        <w:t>7、名词解释</w:t>
      </w:r>
    </w:p>
    <w:p>
      <w:pPr>
        <w:ind w:firstLine="640" w:firstLineChars="200"/>
        <w:rPr>
          <w:rFonts w:ascii="宋体" w:hAnsi="宋体"/>
          <w:sz w:val="32"/>
          <w:szCs w:val="32"/>
        </w:rPr>
      </w:pPr>
      <w:r>
        <w:rPr>
          <w:rFonts w:hint="eastAsia" w:ascii="宋体" w:hAnsi="宋体"/>
          <w:sz w:val="32"/>
          <w:szCs w:val="32"/>
        </w:rPr>
        <w:t>8、其他需要说明的事项</w:t>
      </w:r>
    </w:p>
    <w:p>
      <w:pPr>
        <w:ind w:firstLine="640" w:firstLineChars="200"/>
        <w:rPr>
          <w:rFonts w:ascii="宋体" w:hAnsi="宋体"/>
          <w:sz w:val="32"/>
          <w:szCs w:val="32"/>
        </w:rPr>
      </w:pPr>
      <w:r>
        <w:rPr>
          <w:rFonts w:hint="eastAsia" w:ascii="宋体" w:hAnsi="宋体"/>
          <w:sz w:val="32"/>
          <w:szCs w:val="32"/>
        </w:rPr>
        <w:t>三</w:t>
      </w:r>
      <w:r>
        <w:rPr>
          <w:rFonts w:ascii="宋体" w:hAnsi="宋体"/>
          <w:sz w:val="32"/>
          <w:szCs w:val="32"/>
        </w:rPr>
        <w:t>、</w:t>
      </w:r>
      <w:r>
        <w:rPr>
          <w:rFonts w:hint="eastAsia" w:ascii="宋体" w:hAnsi="宋体"/>
          <w:sz w:val="32"/>
          <w:szCs w:val="32"/>
        </w:rPr>
        <w:t>2020年</w:t>
      </w:r>
      <w:r>
        <w:rPr>
          <w:rFonts w:ascii="宋体" w:hAnsi="宋体"/>
          <w:sz w:val="32"/>
          <w:szCs w:val="32"/>
        </w:rPr>
        <w:t>部门预算</w:t>
      </w:r>
      <w:r>
        <w:rPr>
          <w:rFonts w:hint="eastAsia" w:ascii="宋体" w:hAnsi="宋体"/>
          <w:sz w:val="32"/>
          <w:szCs w:val="32"/>
        </w:rPr>
        <w:t>绩效</w:t>
      </w:r>
      <w:r>
        <w:rPr>
          <w:rFonts w:ascii="宋体" w:hAnsi="宋体"/>
          <w:sz w:val="32"/>
          <w:szCs w:val="32"/>
        </w:rPr>
        <w:t>信息</w:t>
      </w:r>
    </w:p>
    <w:p>
      <w:pPr>
        <w:ind w:firstLine="640" w:firstLineChars="200"/>
        <w:rPr>
          <w:rFonts w:hint="eastAsia" w:ascii="宋体" w:hAnsi="宋体"/>
          <w:sz w:val="32"/>
          <w:szCs w:val="32"/>
        </w:rPr>
      </w:pPr>
    </w:p>
    <w:p>
      <w:pPr>
        <w:ind w:firstLine="640" w:firstLineChars="200"/>
        <w:rPr>
          <w:rFonts w:ascii="宋体" w:hAnsi="宋体"/>
          <w:sz w:val="32"/>
          <w:szCs w:val="32"/>
        </w:rPr>
      </w:pPr>
    </w:p>
    <w:p>
      <w:pPr>
        <w:ind w:firstLine="576" w:firstLineChars="200"/>
        <w:rPr>
          <w:rFonts w:ascii="宋体" w:hAnsi="宋体"/>
          <w:spacing w:val="-16"/>
          <w:kern w:val="0"/>
          <w:sz w:val="32"/>
          <w:szCs w:val="32"/>
        </w:rPr>
      </w:pPr>
    </w:p>
    <w:p>
      <w:pPr>
        <w:ind w:left="840"/>
        <w:rPr>
          <w:rFonts w:ascii="宋体" w:hAnsi="宋体"/>
          <w:kern w:val="0"/>
          <w:sz w:val="32"/>
          <w:szCs w:val="32"/>
        </w:rPr>
      </w:pPr>
    </w:p>
    <w:p>
      <w:pPr>
        <w:ind w:left="840"/>
        <w:rPr>
          <w:rFonts w:ascii="宋体" w:hAnsi="宋体"/>
          <w:kern w:val="0"/>
          <w:sz w:val="32"/>
          <w:szCs w:val="32"/>
        </w:rPr>
      </w:pPr>
    </w:p>
    <w:p>
      <w:pPr>
        <w:ind w:left="840"/>
        <w:rPr>
          <w:rFonts w:ascii="宋体" w:hAnsi="宋体"/>
          <w:kern w:val="0"/>
          <w:sz w:val="32"/>
          <w:szCs w:val="32"/>
        </w:rPr>
      </w:pPr>
    </w:p>
    <w:p>
      <w:pPr>
        <w:ind w:left="840"/>
        <w:rPr>
          <w:rFonts w:ascii="宋体" w:hAnsi="宋体"/>
          <w:kern w:val="0"/>
          <w:sz w:val="32"/>
          <w:szCs w:val="32"/>
        </w:rPr>
      </w:pPr>
    </w:p>
    <w:p>
      <w:pPr>
        <w:ind w:left="840"/>
        <w:rPr>
          <w:rFonts w:ascii="宋体" w:hAnsi="宋体"/>
          <w:kern w:val="0"/>
          <w:sz w:val="32"/>
          <w:szCs w:val="32"/>
        </w:rPr>
      </w:pPr>
    </w:p>
    <w:p>
      <w:pPr>
        <w:ind w:left="840"/>
        <w:rPr>
          <w:rFonts w:ascii="宋体" w:hAnsi="宋体"/>
          <w:kern w:val="0"/>
          <w:sz w:val="32"/>
          <w:szCs w:val="32"/>
        </w:rPr>
      </w:pPr>
    </w:p>
    <w:p>
      <w:pPr>
        <w:ind w:left="840"/>
        <w:rPr>
          <w:rFonts w:ascii="宋体" w:hAnsi="宋体"/>
          <w:kern w:val="0"/>
          <w:sz w:val="32"/>
          <w:szCs w:val="32"/>
        </w:rPr>
      </w:pPr>
    </w:p>
    <w:p>
      <w:pPr>
        <w:ind w:left="840"/>
        <w:rPr>
          <w:rFonts w:ascii="宋体" w:hAnsi="宋体"/>
          <w:kern w:val="0"/>
          <w:sz w:val="32"/>
          <w:szCs w:val="32"/>
        </w:rPr>
      </w:pPr>
    </w:p>
    <w:p>
      <w:pPr>
        <w:ind w:left="840"/>
        <w:rPr>
          <w:rFonts w:ascii="宋体" w:hAnsi="宋体"/>
          <w:kern w:val="0"/>
          <w:sz w:val="32"/>
          <w:szCs w:val="32"/>
        </w:rPr>
      </w:pPr>
    </w:p>
    <w:p>
      <w:pPr>
        <w:ind w:left="840"/>
        <w:rPr>
          <w:rFonts w:ascii="宋体" w:hAnsi="宋体"/>
          <w:kern w:val="0"/>
          <w:sz w:val="32"/>
          <w:szCs w:val="32"/>
        </w:rPr>
      </w:pPr>
    </w:p>
    <w:p>
      <w:pPr>
        <w:ind w:left="840"/>
        <w:rPr>
          <w:rFonts w:ascii="宋体" w:hAnsi="宋体"/>
          <w:kern w:val="0"/>
          <w:sz w:val="32"/>
          <w:szCs w:val="32"/>
        </w:rPr>
      </w:pPr>
    </w:p>
    <w:p>
      <w:pPr>
        <w:ind w:left="840"/>
        <w:rPr>
          <w:rFonts w:ascii="宋体" w:hAnsi="宋体"/>
          <w:kern w:val="0"/>
          <w:sz w:val="32"/>
          <w:szCs w:val="32"/>
        </w:rPr>
      </w:pPr>
    </w:p>
    <w:p>
      <w:pPr>
        <w:ind w:left="840"/>
        <w:rPr>
          <w:rFonts w:ascii="宋体" w:hAnsi="宋体"/>
          <w:kern w:val="0"/>
          <w:sz w:val="32"/>
          <w:szCs w:val="32"/>
        </w:rPr>
      </w:pPr>
    </w:p>
    <w:p>
      <w:pPr>
        <w:ind w:left="840"/>
        <w:rPr>
          <w:rFonts w:ascii="宋体" w:hAnsi="宋体"/>
          <w:kern w:val="0"/>
          <w:sz w:val="32"/>
          <w:szCs w:val="32"/>
        </w:rPr>
      </w:pPr>
    </w:p>
    <w:p>
      <w:pPr>
        <w:ind w:left="840"/>
        <w:rPr>
          <w:rFonts w:ascii="宋体" w:hAnsi="宋体"/>
          <w:kern w:val="0"/>
          <w:sz w:val="32"/>
          <w:szCs w:val="32"/>
        </w:rPr>
      </w:pPr>
    </w:p>
    <w:p>
      <w:pPr>
        <w:ind w:left="840"/>
        <w:rPr>
          <w:rFonts w:ascii="宋体" w:hAnsi="宋体"/>
          <w:kern w:val="0"/>
          <w:sz w:val="32"/>
          <w:szCs w:val="32"/>
        </w:rPr>
      </w:pPr>
    </w:p>
    <w:p>
      <w:pPr>
        <w:rPr>
          <w:rFonts w:hAnsi="黑体" w:eastAsia="黑体"/>
          <w:spacing w:val="-16"/>
          <w:kern w:val="0"/>
          <w:sz w:val="32"/>
          <w:szCs w:val="32"/>
        </w:rPr>
      </w:pPr>
    </w:p>
    <w:p>
      <w:pPr>
        <w:jc w:val="center"/>
        <w:rPr>
          <w:rFonts w:hAnsi="黑体" w:eastAsia="黑体"/>
          <w:kern w:val="0"/>
          <w:sz w:val="44"/>
          <w:szCs w:val="44"/>
        </w:rPr>
      </w:pPr>
      <w:r>
        <w:rPr>
          <w:rFonts w:hAnsi="黑体" w:eastAsia="黑体"/>
          <w:kern w:val="0"/>
          <w:sz w:val="44"/>
          <w:szCs w:val="44"/>
        </w:rPr>
        <w:t>秦</w:t>
      </w:r>
      <w:r>
        <w:rPr>
          <w:rFonts w:hAnsi="黑体" w:eastAsia="黑体"/>
          <w:spacing w:val="-8"/>
          <w:kern w:val="0"/>
          <w:sz w:val="44"/>
          <w:szCs w:val="44"/>
        </w:rPr>
        <w:t>皇岛</w:t>
      </w:r>
      <w:r>
        <w:rPr>
          <w:rFonts w:hint="eastAsia" w:hAnsi="黑体" w:eastAsia="黑体"/>
          <w:kern w:val="0"/>
          <w:sz w:val="44"/>
          <w:szCs w:val="44"/>
        </w:rPr>
        <w:t>出口加工区管理委员会部门</w:t>
      </w:r>
    </w:p>
    <w:p>
      <w:pPr>
        <w:jc w:val="center"/>
        <w:rPr>
          <w:rFonts w:hAnsi="黑体" w:eastAsia="黑体"/>
          <w:kern w:val="0"/>
          <w:sz w:val="44"/>
          <w:szCs w:val="44"/>
        </w:rPr>
      </w:pPr>
      <w:r>
        <w:rPr>
          <w:rFonts w:eastAsia="黑体"/>
          <w:spacing w:val="-8"/>
          <w:kern w:val="0"/>
          <w:sz w:val="44"/>
          <w:szCs w:val="44"/>
        </w:rPr>
        <w:t>2020</w:t>
      </w:r>
      <w:r>
        <w:rPr>
          <w:rFonts w:hAnsi="黑体" w:eastAsia="黑体"/>
          <w:spacing w:val="-8"/>
          <w:kern w:val="0"/>
          <w:sz w:val="44"/>
          <w:szCs w:val="44"/>
        </w:rPr>
        <w:t>年度</w:t>
      </w:r>
      <w:r>
        <w:rPr>
          <w:rFonts w:hint="eastAsia" w:hAnsi="黑体" w:eastAsia="黑体"/>
          <w:kern w:val="0"/>
          <w:sz w:val="44"/>
          <w:szCs w:val="44"/>
        </w:rPr>
        <w:t>预算信息公开</w:t>
      </w:r>
    </w:p>
    <w:p>
      <w:pPr>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ind w:firstLine="560" w:firstLineChars="200"/>
        <w:jc w:val="left"/>
        <w:rPr>
          <w:rFonts w:hAnsi="黑体" w:eastAsia="黑体"/>
          <w:spacing w:val="-16"/>
          <w:kern w:val="0"/>
          <w:sz w:val="32"/>
          <w:szCs w:val="32"/>
        </w:rPr>
      </w:pPr>
      <w:r>
        <w:rPr>
          <w:rFonts w:hint="eastAsia" w:ascii="仿宋_GB2312" w:hAnsi="仿宋_GB2312" w:eastAsia="仿宋_GB2312" w:cs="仿宋_GB2312"/>
          <w:sz w:val="28"/>
          <w:szCs w:val="28"/>
        </w:rPr>
        <w:t xml:space="preserve"> </w:t>
      </w:r>
      <w:r>
        <w:rPr>
          <w:rFonts w:ascii="仿宋_GB2312" w:hAnsi="仿宋_GB2312" w:eastAsia="仿宋_GB2312" w:cs="仿宋_GB2312"/>
          <w:sz w:val="32"/>
          <w:szCs w:val="32"/>
        </w:rPr>
        <w:t>按照</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中华人民共和国</w:t>
      </w:r>
      <w:bookmarkStart w:id="21" w:name="_GoBack"/>
      <w:bookmarkEnd w:id="21"/>
      <w:r>
        <w:rPr>
          <w:rFonts w:hint="eastAsia" w:ascii="仿宋_GB2312" w:hAnsi="仿宋_GB2312" w:eastAsia="仿宋_GB2312" w:cs="仿宋_GB2312"/>
          <w:sz w:val="32"/>
          <w:szCs w:val="32"/>
        </w:rPr>
        <w:t>预算法》、</w:t>
      </w:r>
      <w:r>
        <w:rPr>
          <w:rFonts w:ascii="仿宋_GB2312" w:hAnsi="仿宋_GB2312" w:eastAsia="仿宋_GB2312" w:cs="仿宋_GB2312"/>
          <w:sz w:val="32"/>
          <w:szCs w:val="32"/>
        </w:rPr>
        <w:t>《河北省</w:t>
      </w:r>
      <w:r>
        <w:rPr>
          <w:rFonts w:hint="eastAsia" w:ascii="仿宋_GB2312" w:hAnsi="仿宋_GB2312" w:eastAsia="仿宋_GB2312" w:cs="仿宋_GB2312"/>
          <w:sz w:val="32"/>
          <w:szCs w:val="32"/>
        </w:rPr>
        <w:t>预决算公开操作实施细则</w:t>
      </w:r>
      <w:r>
        <w:rPr>
          <w:rFonts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和《秦皇岛市市级预算公开办法》</w:t>
      </w:r>
      <w:r>
        <w:rPr>
          <w:rFonts w:hint="eastAsia" w:ascii="仿宋_GB2312" w:hAnsi="仿宋_GB2312" w:eastAsia="仿宋_GB2312" w:cs="仿宋_GB2312"/>
          <w:sz w:val="32"/>
          <w:szCs w:val="32"/>
        </w:rPr>
        <w:t>规定</w:t>
      </w:r>
      <w:r>
        <w:rPr>
          <w:rFonts w:ascii="仿宋_GB2312" w:hAnsi="仿宋_GB2312" w:eastAsia="仿宋_GB2312" w:cs="仿宋_GB2312"/>
          <w:sz w:val="32"/>
          <w:szCs w:val="32"/>
        </w:rPr>
        <w:t>，现将2020年部门预算公开如下：</w:t>
      </w:r>
      <w:r>
        <w:rPr>
          <w:rFonts w:hAnsi="黑体" w:eastAsia="黑体"/>
          <w:spacing w:val="-16"/>
          <w:kern w:val="0"/>
          <w:sz w:val="32"/>
          <w:szCs w:val="32"/>
        </w:rPr>
        <w:t xml:space="preserve"> </w:t>
      </w:r>
    </w:p>
    <w:p>
      <w:pPr>
        <w:rPr>
          <w:rFonts w:eastAsia="黑体"/>
          <w:kern w:val="0"/>
          <w:sz w:val="32"/>
          <w:szCs w:val="32"/>
        </w:rPr>
      </w:pPr>
      <w:r>
        <w:rPr>
          <w:rFonts w:hint="eastAsia" w:hAnsi="黑体" w:eastAsia="黑体"/>
          <w:kern w:val="0"/>
          <w:sz w:val="32"/>
          <w:szCs w:val="32"/>
        </w:rPr>
        <w:t>一</w:t>
      </w:r>
      <w:r>
        <w:rPr>
          <w:rFonts w:hAnsi="黑体" w:eastAsia="黑体"/>
          <w:kern w:val="0"/>
          <w:sz w:val="32"/>
          <w:szCs w:val="32"/>
        </w:rPr>
        <w:t>、部门职责</w:t>
      </w:r>
      <w:r>
        <w:rPr>
          <w:rFonts w:hint="eastAsia" w:hAnsi="黑体" w:eastAsia="黑体"/>
          <w:kern w:val="0"/>
          <w:sz w:val="32"/>
          <w:szCs w:val="32"/>
        </w:rPr>
        <w:t>及机构设置情况</w:t>
      </w:r>
    </w:p>
    <w:p>
      <w:pPr>
        <w:pStyle w:val="21"/>
        <w:ind w:firstLine="643"/>
        <w:rPr>
          <w:rFonts w:eastAsia="仿宋_GB2312"/>
          <w:kern w:val="0"/>
          <w:sz w:val="32"/>
          <w:szCs w:val="32"/>
        </w:rPr>
      </w:pPr>
      <w:r>
        <w:rPr>
          <w:rFonts w:hint="eastAsia" w:eastAsia="仿宋_GB2312"/>
          <w:b/>
          <w:bCs/>
          <w:kern w:val="0"/>
          <w:sz w:val="32"/>
          <w:szCs w:val="32"/>
        </w:rPr>
        <w:t>一、部门主要职责</w:t>
      </w:r>
    </w:p>
    <w:p>
      <w:pPr>
        <w:pStyle w:val="21"/>
        <w:ind w:firstLine="640"/>
        <w:rPr>
          <w:rFonts w:ascii="仿宋_GB2312" w:eastAsia="仿宋_GB2312"/>
          <w:kern w:val="0"/>
          <w:sz w:val="32"/>
          <w:szCs w:val="32"/>
        </w:rPr>
      </w:pPr>
      <w:r>
        <w:rPr>
          <w:rFonts w:hint="eastAsia" w:ascii="仿宋_GB2312" w:eastAsia="仿宋_GB2312"/>
          <w:kern w:val="0"/>
          <w:sz w:val="32"/>
          <w:szCs w:val="32"/>
        </w:rPr>
        <w:t>1、保证国家法律法规在加工区的实施；</w:t>
      </w:r>
    </w:p>
    <w:p>
      <w:pPr>
        <w:pStyle w:val="21"/>
        <w:ind w:firstLine="640"/>
        <w:rPr>
          <w:rFonts w:ascii="仿宋_GB2312" w:eastAsia="仿宋_GB2312"/>
          <w:kern w:val="0"/>
          <w:sz w:val="32"/>
          <w:szCs w:val="32"/>
        </w:rPr>
      </w:pPr>
      <w:r>
        <w:rPr>
          <w:rFonts w:hint="eastAsia" w:ascii="仿宋_GB2312" w:eastAsia="仿宋_GB2312"/>
          <w:kern w:val="0"/>
          <w:sz w:val="32"/>
          <w:szCs w:val="32"/>
        </w:rPr>
        <w:t>2、根据国家、地方政府有关法律法规和规章制定加工区管委会的各项管理规定；</w:t>
      </w:r>
    </w:p>
    <w:p>
      <w:pPr>
        <w:pStyle w:val="21"/>
        <w:ind w:firstLine="640"/>
        <w:rPr>
          <w:rFonts w:ascii="仿宋_GB2312" w:eastAsia="仿宋_GB2312"/>
          <w:kern w:val="0"/>
          <w:sz w:val="32"/>
          <w:szCs w:val="32"/>
        </w:rPr>
      </w:pPr>
      <w:r>
        <w:rPr>
          <w:rFonts w:hint="eastAsia" w:ascii="仿宋_GB2312" w:eastAsia="仿宋_GB2312"/>
          <w:kern w:val="0"/>
          <w:sz w:val="32"/>
          <w:szCs w:val="32"/>
        </w:rPr>
        <w:t>3、制订加工区的发展建设规划方案；</w:t>
      </w:r>
    </w:p>
    <w:p>
      <w:pPr>
        <w:pStyle w:val="21"/>
        <w:ind w:firstLine="640"/>
        <w:rPr>
          <w:rFonts w:ascii="仿宋_GB2312" w:eastAsia="仿宋_GB2312"/>
          <w:kern w:val="0"/>
          <w:sz w:val="32"/>
          <w:szCs w:val="32"/>
        </w:rPr>
      </w:pPr>
      <w:r>
        <w:rPr>
          <w:rFonts w:hint="eastAsia" w:ascii="仿宋_GB2312" w:eastAsia="仿宋_GB2312"/>
          <w:kern w:val="0"/>
          <w:sz w:val="32"/>
          <w:szCs w:val="32"/>
        </w:rPr>
        <w:t>4、依据市政府授权管理加工区内的财政、国有资产、工商行政、劳动人事、规划建设、土地房产、公用事业、治安及环境保护等行政事务；</w:t>
      </w:r>
    </w:p>
    <w:p>
      <w:pPr>
        <w:pStyle w:val="21"/>
        <w:ind w:firstLine="640"/>
        <w:rPr>
          <w:rFonts w:ascii="仿宋_GB2312" w:eastAsia="仿宋_GB2312"/>
          <w:kern w:val="0"/>
          <w:sz w:val="32"/>
          <w:szCs w:val="32"/>
        </w:rPr>
      </w:pPr>
      <w:r>
        <w:rPr>
          <w:rFonts w:hint="eastAsia" w:ascii="仿宋_GB2312" w:eastAsia="仿宋_GB2312"/>
          <w:kern w:val="0"/>
          <w:sz w:val="32"/>
          <w:szCs w:val="32"/>
        </w:rPr>
        <w:t>5、根据国家授权和国家产业政策导向，负责出口加工区对外招商项目、合同章程的审批及外商投资企业的管理工作。</w:t>
      </w:r>
    </w:p>
    <w:p>
      <w:pPr>
        <w:pStyle w:val="21"/>
        <w:ind w:firstLine="640"/>
        <w:rPr>
          <w:rFonts w:ascii="仿宋_GB2312" w:eastAsia="仿宋_GB2312"/>
          <w:kern w:val="0"/>
          <w:sz w:val="32"/>
          <w:szCs w:val="32"/>
        </w:rPr>
      </w:pPr>
      <w:r>
        <w:rPr>
          <w:rFonts w:hint="eastAsia" w:ascii="仿宋_GB2312" w:eastAsia="仿宋_GB2312"/>
          <w:kern w:val="0"/>
          <w:sz w:val="32"/>
          <w:szCs w:val="32"/>
        </w:rPr>
        <w:t>6、根据国家授权负责区内加工贸易业务管理及企业进出境货物、物品的审批；</w:t>
      </w:r>
    </w:p>
    <w:p>
      <w:pPr>
        <w:pStyle w:val="21"/>
        <w:ind w:firstLine="640"/>
        <w:rPr>
          <w:rFonts w:ascii="仿宋_GB2312" w:eastAsia="仿宋_GB2312"/>
          <w:kern w:val="0"/>
          <w:sz w:val="32"/>
          <w:szCs w:val="32"/>
        </w:rPr>
      </w:pPr>
      <w:r>
        <w:rPr>
          <w:rFonts w:hint="eastAsia" w:ascii="仿宋_GB2312" w:eastAsia="仿宋_GB2312"/>
          <w:kern w:val="0"/>
          <w:sz w:val="32"/>
          <w:szCs w:val="32"/>
        </w:rPr>
        <w:t>7、市人民政府授予的其他职权。</w:t>
      </w:r>
    </w:p>
    <w:p>
      <w:pPr>
        <w:pStyle w:val="21"/>
        <w:ind w:firstLine="640"/>
        <w:rPr>
          <w:rFonts w:ascii="仿宋_GB2312" w:eastAsia="仿宋_GB2312"/>
          <w:kern w:val="0"/>
          <w:sz w:val="32"/>
          <w:szCs w:val="32"/>
        </w:rPr>
      </w:pPr>
    </w:p>
    <w:p>
      <w:pPr>
        <w:pStyle w:val="21"/>
        <w:ind w:firstLine="640"/>
        <w:rPr>
          <w:rFonts w:ascii="仿宋_GB2312" w:eastAsia="仿宋_GB2312"/>
          <w:kern w:val="0"/>
          <w:sz w:val="32"/>
          <w:szCs w:val="32"/>
        </w:rPr>
      </w:pPr>
      <w:r>
        <w:rPr>
          <w:rFonts w:hint="eastAsia" w:ascii="仿宋_GB2312" w:eastAsia="仿宋_GB2312"/>
          <w:kern w:val="0"/>
          <w:sz w:val="32"/>
          <w:szCs w:val="32"/>
        </w:rPr>
        <w:t xml:space="preserve"> </w:t>
      </w:r>
    </w:p>
    <w:p>
      <w:pPr>
        <w:pStyle w:val="21"/>
        <w:ind w:firstLine="643"/>
        <w:rPr>
          <w:rFonts w:eastAsia="仿宋_GB2312"/>
          <w:kern w:val="0"/>
          <w:sz w:val="32"/>
          <w:szCs w:val="32"/>
        </w:rPr>
      </w:pPr>
      <w:r>
        <w:rPr>
          <w:rFonts w:hint="eastAsia" w:eastAsia="仿宋_GB2312"/>
          <w:b/>
          <w:bCs/>
          <w:kern w:val="0"/>
          <w:sz w:val="32"/>
          <w:szCs w:val="32"/>
        </w:rPr>
        <w:t>二、部门机构设置</w:t>
      </w:r>
    </w:p>
    <w:tbl>
      <w:tblPr>
        <w:tblStyle w:val="9"/>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074"/>
        <w:gridCol w:w="2074"/>
        <w:gridCol w:w="2074"/>
        <w:gridCol w:w="207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074" w:type="dxa"/>
          </w:tcPr>
          <w:p>
            <w:pPr>
              <w:pStyle w:val="21"/>
              <w:ind w:firstLine="0" w:firstLineChars="0"/>
              <w:jc w:val="center"/>
              <w:rPr>
                <w:rFonts w:eastAsia="仿宋_GB2312"/>
                <w:b/>
                <w:kern w:val="0"/>
                <w:szCs w:val="21"/>
              </w:rPr>
            </w:pPr>
            <w:r>
              <w:rPr>
                <w:rFonts w:hint="eastAsia" w:eastAsia="仿宋_GB2312"/>
                <w:b/>
                <w:kern w:val="0"/>
                <w:szCs w:val="21"/>
              </w:rPr>
              <w:t>单位名称</w:t>
            </w:r>
          </w:p>
        </w:tc>
        <w:tc>
          <w:tcPr>
            <w:tcW w:w="2074" w:type="dxa"/>
          </w:tcPr>
          <w:p>
            <w:pPr>
              <w:pStyle w:val="21"/>
              <w:ind w:firstLine="0" w:firstLineChars="0"/>
              <w:jc w:val="center"/>
              <w:rPr>
                <w:rFonts w:eastAsia="仿宋_GB2312"/>
                <w:b/>
                <w:kern w:val="0"/>
                <w:szCs w:val="21"/>
              </w:rPr>
            </w:pPr>
            <w:r>
              <w:rPr>
                <w:rFonts w:hint="eastAsia" w:eastAsia="仿宋_GB2312"/>
                <w:b/>
                <w:kern w:val="0"/>
                <w:szCs w:val="21"/>
              </w:rPr>
              <w:t>单位性质</w:t>
            </w:r>
          </w:p>
        </w:tc>
        <w:tc>
          <w:tcPr>
            <w:tcW w:w="2074" w:type="dxa"/>
          </w:tcPr>
          <w:p>
            <w:pPr>
              <w:pStyle w:val="21"/>
              <w:ind w:firstLine="0" w:firstLineChars="0"/>
              <w:jc w:val="center"/>
              <w:rPr>
                <w:rFonts w:eastAsia="仿宋_GB2312"/>
                <w:b/>
                <w:kern w:val="0"/>
                <w:szCs w:val="21"/>
              </w:rPr>
            </w:pPr>
            <w:r>
              <w:rPr>
                <w:rFonts w:hint="eastAsia" w:eastAsia="仿宋_GB2312"/>
                <w:b/>
                <w:kern w:val="0"/>
                <w:szCs w:val="21"/>
              </w:rPr>
              <w:t>单位规格</w:t>
            </w:r>
          </w:p>
        </w:tc>
        <w:tc>
          <w:tcPr>
            <w:tcW w:w="2074" w:type="dxa"/>
          </w:tcPr>
          <w:p>
            <w:pPr>
              <w:pStyle w:val="21"/>
              <w:ind w:firstLine="0" w:firstLineChars="0"/>
              <w:jc w:val="center"/>
              <w:rPr>
                <w:rFonts w:eastAsia="仿宋_GB2312"/>
                <w:b/>
                <w:kern w:val="0"/>
                <w:szCs w:val="21"/>
              </w:rPr>
            </w:pPr>
            <w:r>
              <w:rPr>
                <w:rFonts w:hint="eastAsia" w:eastAsia="仿宋_GB2312"/>
                <w:b/>
                <w:kern w:val="0"/>
                <w:szCs w:val="21"/>
              </w:rPr>
              <w:t>经费保障形式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79" w:hRule="atLeast"/>
        </w:trPr>
        <w:tc>
          <w:tcPr>
            <w:tcW w:w="2074" w:type="dxa"/>
          </w:tcPr>
          <w:p>
            <w:pPr>
              <w:pStyle w:val="21"/>
              <w:ind w:left="630" w:hanging="630" w:hangingChars="300"/>
              <w:jc w:val="center"/>
              <w:rPr>
                <w:rFonts w:eastAsia="仿宋_GB2312"/>
                <w:kern w:val="0"/>
                <w:szCs w:val="21"/>
              </w:rPr>
            </w:pPr>
            <w:r>
              <w:rPr>
                <w:rFonts w:hint="eastAsia" w:eastAsia="仿宋_GB2312"/>
                <w:kern w:val="0"/>
                <w:szCs w:val="21"/>
              </w:rPr>
              <w:t>秦皇岛出口加工区</w:t>
            </w:r>
          </w:p>
          <w:p>
            <w:pPr>
              <w:jc w:val="center"/>
              <w:rPr>
                <w:rFonts w:eastAsia="仿宋_GB2312"/>
                <w:kern w:val="0"/>
                <w:szCs w:val="21"/>
              </w:rPr>
            </w:pPr>
            <w:r>
              <w:rPr>
                <w:rFonts w:hint="eastAsia" w:eastAsia="仿宋_GB2312"/>
                <w:kern w:val="0"/>
                <w:szCs w:val="21"/>
              </w:rPr>
              <w:t>管理委员会</w:t>
            </w:r>
          </w:p>
        </w:tc>
        <w:tc>
          <w:tcPr>
            <w:tcW w:w="2074" w:type="dxa"/>
          </w:tcPr>
          <w:p>
            <w:pPr>
              <w:pStyle w:val="21"/>
              <w:ind w:firstLine="0" w:firstLineChars="0"/>
              <w:jc w:val="center"/>
              <w:rPr>
                <w:rFonts w:eastAsia="仿宋_GB2312"/>
                <w:kern w:val="0"/>
                <w:szCs w:val="21"/>
              </w:rPr>
            </w:pPr>
            <w:r>
              <w:rPr>
                <w:rFonts w:hint="eastAsia" w:eastAsia="仿宋_GB2312"/>
                <w:kern w:val="0"/>
                <w:szCs w:val="21"/>
              </w:rPr>
              <w:t>机关</w:t>
            </w:r>
          </w:p>
        </w:tc>
        <w:tc>
          <w:tcPr>
            <w:tcW w:w="2074" w:type="dxa"/>
          </w:tcPr>
          <w:p>
            <w:pPr>
              <w:pStyle w:val="21"/>
              <w:ind w:firstLine="0" w:firstLineChars="0"/>
              <w:jc w:val="center"/>
              <w:rPr>
                <w:rFonts w:eastAsia="仿宋_GB2312"/>
                <w:kern w:val="0"/>
                <w:szCs w:val="21"/>
              </w:rPr>
            </w:pPr>
            <w:r>
              <w:rPr>
                <w:rFonts w:hint="eastAsia" w:eastAsia="仿宋_GB2312"/>
                <w:kern w:val="0"/>
                <w:szCs w:val="21"/>
              </w:rPr>
              <w:t>副地市级</w:t>
            </w:r>
          </w:p>
        </w:tc>
        <w:tc>
          <w:tcPr>
            <w:tcW w:w="2074" w:type="dxa"/>
          </w:tcPr>
          <w:p>
            <w:pPr>
              <w:pStyle w:val="21"/>
              <w:ind w:firstLine="0" w:firstLineChars="0"/>
              <w:jc w:val="center"/>
              <w:rPr>
                <w:rFonts w:eastAsia="仿宋_GB2312"/>
                <w:kern w:val="0"/>
                <w:szCs w:val="21"/>
              </w:rPr>
            </w:pPr>
            <w:r>
              <w:rPr>
                <w:rFonts w:hint="eastAsia" w:eastAsia="仿宋_GB2312"/>
                <w:kern w:val="0"/>
                <w:szCs w:val="21"/>
              </w:rPr>
              <w:t>财政拨款</w:t>
            </w:r>
          </w:p>
        </w:tc>
      </w:tr>
    </w:tbl>
    <w:p>
      <w:pPr>
        <w:pStyle w:val="21"/>
        <w:ind w:firstLine="640"/>
        <w:rPr>
          <w:rFonts w:eastAsia="仿宋_GB2312"/>
          <w:kern w:val="0"/>
          <w:sz w:val="32"/>
          <w:szCs w:val="32"/>
        </w:rPr>
      </w:pPr>
    </w:p>
    <w:p>
      <w:pPr>
        <w:pStyle w:val="21"/>
        <w:ind w:firstLine="0" w:firstLineChars="0"/>
        <w:rPr>
          <w:rFonts w:ascii="仿宋_GB2312" w:eastAsia="仿宋_GB2312"/>
          <w:sz w:val="32"/>
          <w:szCs w:val="32"/>
        </w:rPr>
      </w:pPr>
      <w:r>
        <w:rPr>
          <w:rFonts w:hint="eastAsia" w:hAnsi="黑体" w:eastAsia="黑体"/>
          <w:kern w:val="0"/>
          <w:sz w:val="32"/>
          <w:szCs w:val="32"/>
        </w:rPr>
        <w:t>二</w:t>
      </w:r>
      <w:r>
        <w:rPr>
          <w:rFonts w:hAnsi="黑体" w:eastAsia="黑体"/>
          <w:kern w:val="0"/>
          <w:sz w:val="32"/>
          <w:szCs w:val="32"/>
        </w:rPr>
        <w:t>、</w:t>
      </w:r>
      <w:r>
        <w:rPr>
          <w:rFonts w:hint="eastAsia" w:ascii="黑体" w:eastAsia="黑体"/>
          <w:sz w:val="32"/>
          <w:szCs w:val="32"/>
        </w:rPr>
        <w:t>部门预算安排总体情况</w:t>
      </w:r>
    </w:p>
    <w:p>
      <w:pPr>
        <w:ind w:firstLine="640"/>
        <w:rPr>
          <w:rFonts w:ascii="仿宋_GB2312" w:eastAsia="仿宋_GB2312"/>
          <w:sz w:val="32"/>
          <w:szCs w:val="32"/>
          <w:highlight w:val="yellow"/>
        </w:rPr>
      </w:pPr>
      <w:r>
        <w:rPr>
          <w:rFonts w:hint="eastAsia" w:ascii="仿宋_GB2312" w:eastAsia="仿宋_GB2312"/>
          <w:sz w:val="32"/>
          <w:szCs w:val="32"/>
        </w:rPr>
        <w:t>按照预算管理有关规定，目前我区部门预算的编制实行综合预算制度，即全部收入和支出都反映在预算中。主管部门及所属单位的收支均包含在部门预算中。</w:t>
      </w:r>
    </w:p>
    <w:p>
      <w:pPr>
        <w:rPr>
          <w:rFonts w:ascii="仿宋_GB2312" w:eastAsia="仿宋_GB2312"/>
          <w:sz w:val="32"/>
          <w:szCs w:val="32"/>
        </w:rPr>
      </w:pPr>
      <w:r>
        <w:rPr>
          <w:rFonts w:hint="eastAsia" w:ascii="仿宋_GB2312" w:eastAsia="仿宋_GB2312"/>
          <w:sz w:val="32"/>
          <w:szCs w:val="32"/>
        </w:rPr>
        <w:t>　　1.收入说明</w:t>
      </w:r>
    </w:p>
    <w:p>
      <w:pPr>
        <w:rPr>
          <w:rFonts w:ascii="仿宋_GB2312" w:eastAsia="仿宋_GB2312"/>
          <w:sz w:val="32"/>
          <w:szCs w:val="32"/>
        </w:rPr>
      </w:pPr>
      <w:r>
        <w:rPr>
          <w:rFonts w:hint="eastAsia" w:ascii="仿宋_GB2312" w:eastAsia="仿宋_GB2312"/>
          <w:sz w:val="32"/>
          <w:szCs w:val="32"/>
        </w:rPr>
        <w:t>　　反映本部门当年全部收入。20</w:t>
      </w:r>
      <w:r>
        <w:rPr>
          <w:rFonts w:ascii="仿宋_GB2312" w:eastAsia="仿宋_GB2312"/>
          <w:sz w:val="32"/>
          <w:szCs w:val="32"/>
        </w:rPr>
        <w:t>20</w:t>
      </w:r>
      <w:r>
        <w:rPr>
          <w:rFonts w:hint="eastAsia" w:ascii="仿宋_GB2312" w:eastAsia="仿宋_GB2312"/>
          <w:sz w:val="32"/>
          <w:szCs w:val="32"/>
        </w:rPr>
        <w:t>年预算收入</w:t>
      </w:r>
      <w:r>
        <w:rPr>
          <w:rFonts w:ascii="仿宋_GB2312" w:eastAsia="仿宋_GB2312"/>
          <w:sz w:val="32"/>
          <w:szCs w:val="32"/>
        </w:rPr>
        <w:t>499.33</w:t>
      </w:r>
      <w:r>
        <w:rPr>
          <w:rFonts w:hint="eastAsia" w:ascii="仿宋_GB2312" w:eastAsia="仿宋_GB2312"/>
          <w:sz w:val="32"/>
          <w:szCs w:val="32"/>
        </w:rPr>
        <w:t>万元，其中：一般公共预算收入</w:t>
      </w:r>
      <w:r>
        <w:rPr>
          <w:rFonts w:ascii="仿宋_GB2312" w:eastAsia="仿宋_GB2312"/>
          <w:sz w:val="32"/>
          <w:szCs w:val="32"/>
        </w:rPr>
        <w:t>499.33</w:t>
      </w:r>
      <w:r>
        <w:rPr>
          <w:rFonts w:hint="eastAsia" w:ascii="仿宋_GB2312" w:eastAsia="仿宋_GB2312"/>
          <w:sz w:val="32"/>
          <w:szCs w:val="32"/>
        </w:rPr>
        <w:t>万元。</w:t>
      </w:r>
    </w:p>
    <w:p>
      <w:pPr>
        <w:rPr>
          <w:rFonts w:ascii="仿宋_GB2312" w:eastAsia="仿宋_GB2312"/>
          <w:sz w:val="32"/>
          <w:szCs w:val="32"/>
        </w:rPr>
      </w:pPr>
      <w:r>
        <w:rPr>
          <w:rFonts w:hint="eastAsia" w:ascii="仿宋_GB2312" w:eastAsia="仿宋_GB2312"/>
          <w:sz w:val="32"/>
          <w:szCs w:val="32"/>
        </w:rPr>
        <w:t>　　2.支出说明</w:t>
      </w:r>
    </w:p>
    <w:p>
      <w:pPr>
        <w:rPr>
          <w:rFonts w:ascii="仿宋_GB2312" w:eastAsia="仿宋_GB2312"/>
          <w:sz w:val="32"/>
          <w:szCs w:val="32"/>
        </w:rPr>
      </w:pPr>
      <w:r>
        <w:rPr>
          <w:rFonts w:hint="eastAsia" w:ascii="仿宋_GB2312" w:eastAsia="仿宋_GB2312"/>
          <w:sz w:val="32"/>
          <w:szCs w:val="32"/>
        </w:rPr>
        <w:t>　　收支预算总表支出栏、基本支出表、项目支出表按经济分类和支出功能分类科目编制，反映年度本部门预算中支出预算的总体情况。20</w:t>
      </w:r>
      <w:r>
        <w:rPr>
          <w:rFonts w:ascii="仿宋_GB2312" w:eastAsia="仿宋_GB2312"/>
          <w:sz w:val="32"/>
          <w:szCs w:val="32"/>
        </w:rPr>
        <w:t>20</w:t>
      </w:r>
      <w:r>
        <w:rPr>
          <w:rFonts w:hint="eastAsia" w:ascii="仿宋_GB2312" w:eastAsia="仿宋_GB2312"/>
          <w:sz w:val="32"/>
          <w:szCs w:val="32"/>
        </w:rPr>
        <w:t>年支出预算499.33万元，其中基本支出254.95万元，包括人员经费和日常公用经费；公用项目支出244.38万元，包括本级支出。</w:t>
      </w:r>
    </w:p>
    <w:p>
      <w:pPr>
        <w:rPr>
          <w:rFonts w:ascii="仿宋_GB2312" w:eastAsia="仿宋_GB2312"/>
          <w:sz w:val="32"/>
          <w:szCs w:val="32"/>
        </w:rPr>
      </w:pPr>
      <w:r>
        <w:rPr>
          <w:rFonts w:hint="eastAsia" w:ascii="仿宋_GB2312" w:eastAsia="仿宋_GB2312"/>
          <w:sz w:val="32"/>
          <w:szCs w:val="32"/>
        </w:rPr>
        <w:t>　　3.比上年增减情况</w:t>
      </w:r>
    </w:p>
    <w:p>
      <w:pPr>
        <w:ind w:firstLine="630"/>
        <w:rPr>
          <w:rFonts w:ascii="仿宋_GB2312" w:eastAsia="仿宋_GB2312"/>
          <w:sz w:val="32"/>
          <w:szCs w:val="32"/>
        </w:rPr>
      </w:pPr>
      <w:r>
        <w:rPr>
          <w:rFonts w:hint="eastAsia" w:ascii="仿宋_GB2312" w:eastAsia="仿宋_GB2312"/>
          <w:sz w:val="32"/>
          <w:szCs w:val="32"/>
        </w:rPr>
        <w:t>20</w:t>
      </w:r>
      <w:r>
        <w:rPr>
          <w:rFonts w:ascii="仿宋_GB2312" w:eastAsia="仿宋_GB2312"/>
          <w:sz w:val="32"/>
          <w:szCs w:val="32"/>
        </w:rPr>
        <w:t>20</w:t>
      </w:r>
      <w:r>
        <w:rPr>
          <w:rFonts w:hint="eastAsia" w:ascii="仿宋_GB2312" w:eastAsia="仿宋_GB2312"/>
          <w:sz w:val="32"/>
          <w:szCs w:val="32"/>
        </w:rPr>
        <w:t xml:space="preserve"> 年预算收支安排499.33万元，较20</w:t>
      </w:r>
      <w:r>
        <w:rPr>
          <w:rFonts w:ascii="仿宋_GB2312" w:eastAsia="仿宋_GB2312"/>
          <w:sz w:val="32"/>
          <w:szCs w:val="32"/>
        </w:rPr>
        <w:t>19</w:t>
      </w:r>
      <w:r>
        <w:rPr>
          <w:rFonts w:hint="eastAsia" w:ascii="仿宋_GB2312" w:eastAsia="仿宋_GB2312"/>
          <w:sz w:val="32"/>
          <w:szCs w:val="32"/>
        </w:rPr>
        <w:t>年预算增加166.2万元，其中：基本支出增加15.82万元；项目支出增加150.38万元。</w:t>
      </w:r>
    </w:p>
    <w:p>
      <w:pPr>
        <w:ind w:firstLine="630"/>
        <w:rPr>
          <w:rFonts w:ascii="仿宋_GB2312" w:eastAsia="仿宋_GB2312"/>
          <w:sz w:val="32"/>
          <w:szCs w:val="32"/>
        </w:rPr>
      </w:pPr>
    </w:p>
    <w:p>
      <w:pPr>
        <w:ind w:firstLine="630"/>
        <w:rPr>
          <w:rFonts w:ascii="仿宋_GB2312" w:eastAsia="仿宋_GB2312"/>
          <w:sz w:val="32"/>
          <w:szCs w:val="32"/>
        </w:rPr>
      </w:pPr>
    </w:p>
    <w:p>
      <w:pPr>
        <w:rPr>
          <w:rFonts w:hAnsi="黑体" w:eastAsia="黑体"/>
          <w:spacing w:val="-16"/>
          <w:kern w:val="0"/>
          <w:sz w:val="32"/>
          <w:szCs w:val="32"/>
        </w:rPr>
      </w:pPr>
      <w:r>
        <w:rPr>
          <w:rFonts w:hint="eastAsia" w:hAnsi="黑体" w:eastAsia="黑体"/>
          <w:kern w:val="0"/>
          <w:sz w:val="32"/>
          <w:szCs w:val="32"/>
        </w:rPr>
        <w:t>三</w:t>
      </w:r>
      <w:r>
        <w:rPr>
          <w:rFonts w:hAnsi="黑体" w:eastAsia="黑体"/>
          <w:kern w:val="0"/>
          <w:sz w:val="32"/>
          <w:szCs w:val="32"/>
        </w:rPr>
        <w:t>、</w:t>
      </w:r>
      <w:r>
        <w:rPr>
          <w:rFonts w:hint="eastAsia" w:hAnsi="黑体" w:eastAsia="黑体"/>
          <w:kern w:val="0"/>
          <w:sz w:val="32"/>
          <w:szCs w:val="32"/>
        </w:rPr>
        <w:t xml:space="preserve"> </w:t>
      </w:r>
      <w:r>
        <w:rPr>
          <w:rFonts w:hint="eastAsia" w:ascii="黑体" w:eastAsia="黑体"/>
          <w:sz w:val="32"/>
          <w:szCs w:val="32"/>
        </w:rPr>
        <w:t>机关运行经费安排情况</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机关运行经费安排</w:t>
      </w:r>
      <w:r>
        <w:rPr>
          <w:rFonts w:ascii="仿宋_GB2312" w:hAnsi="仿宋_GB2312" w:eastAsia="仿宋_GB2312" w:cs="仿宋_GB2312"/>
          <w:sz w:val="32"/>
          <w:szCs w:val="32"/>
        </w:rPr>
        <w:t>112.87</w:t>
      </w:r>
      <w:r>
        <w:rPr>
          <w:rFonts w:hint="eastAsia" w:ascii="仿宋_GB2312" w:hAnsi="仿宋_GB2312" w:eastAsia="仿宋_GB2312" w:cs="仿宋_GB2312"/>
          <w:sz w:val="32"/>
          <w:szCs w:val="32"/>
        </w:rPr>
        <w:t>万元，主要用于保证机关正常运转的办公及印刷费、邮电费、差旅费、会议费、福利费、专用材料费及一般设备购置费、办公用房水电费、办公用房取暖费、日常维修费、公务用车运行维护费等支出。</w:t>
      </w:r>
    </w:p>
    <w:p>
      <w:pPr>
        <w:rPr>
          <w:rFonts w:hAnsi="黑体" w:eastAsia="黑体"/>
          <w:kern w:val="0"/>
          <w:sz w:val="32"/>
          <w:szCs w:val="32"/>
        </w:rPr>
      </w:pPr>
    </w:p>
    <w:p>
      <w:pPr>
        <w:rPr>
          <w:rFonts w:hAnsi="黑体" w:eastAsia="黑体"/>
          <w:spacing w:val="-16"/>
          <w:kern w:val="0"/>
          <w:sz w:val="32"/>
          <w:szCs w:val="32"/>
        </w:rPr>
      </w:pPr>
      <w:r>
        <w:rPr>
          <w:rFonts w:hint="eastAsia" w:hAnsi="黑体" w:eastAsia="黑体"/>
          <w:kern w:val="0"/>
          <w:sz w:val="32"/>
          <w:szCs w:val="32"/>
        </w:rPr>
        <w:t>四</w:t>
      </w:r>
      <w:r>
        <w:rPr>
          <w:rFonts w:hAnsi="黑体" w:eastAsia="黑体"/>
          <w:kern w:val="0"/>
          <w:sz w:val="32"/>
          <w:szCs w:val="32"/>
        </w:rPr>
        <w:t>、</w:t>
      </w:r>
      <w:r>
        <w:rPr>
          <w:rFonts w:hint="eastAsia" w:ascii="黑体" w:eastAsia="黑体"/>
          <w:sz w:val="32"/>
          <w:szCs w:val="32"/>
        </w:rPr>
        <w:t>财政拨款“三公”经费预算情况</w:t>
      </w:r>
    </w:p>
    <w:p>
      <w:pPr>
        <w:ind w:left="143" w:leftChars="-310" w:hanging="794" w:hangingChars="276"/>
        <w:rPr>
          <w:rFonts w:ascii="仿宋_GB2312" w:hAnsi="仿宋" w:eastAsia="仿宋_GB2312" w:cs="仿宋_GB2312"/>
          <w:color w:val="000000"/>
          <w:sz w:val="32"/>
          <w:szCs w:val="32"/>
        </w:rPr>
        <w:sectPr>
          <w:pgSz w:w="11906" w:h="16838"/>
          <w:pgMar w:top="1440" w:right="1800" w:bottom="1440" w:left="1800" w:header="851" w:footer="992" w:gutter="0"/>
          <w:cols w:space="720" w:num="1"/>
          <w:docGrid w:type="lines" w:linePitch="312" w:charSpace="0"/>
        </w:sectPr>
      </w:pPr>
      <w:r>
        <w:rPr>
          <w:rFonts w:hint="eastAsia" w:hAnsi="黑体" w:eastAsia="黑体"/>
          <w:spacing w:val="-16"/>
          <w:kern w:val="0"/>
          <w:sz w:val="32"/>
          <w:szCs w:val="32"/>
        </w:rPr>
        <w:t xml:space="preserve">            </w:t>
      </w:r>
      <w:r>
        <w:rPr>
          <w:rFonts w:hint="eastAsia" w:ascii="仿宋_GB2312" w:hAnsi="仿宋_GB2312" w:eastAsia="仿宋_GB2312" w:cs="仿宋_GB2312"/>
          <w:color w:val="000000"/>
          <w:sz w:val="32"/>
          <w:szCs w:val="32"/>
        </w:rPr>
        <w:t>20</w:t>
      </w:r>
      <w:r>
        <w:rPr>
          <w:rFonts w:ascii="仿宋_GB2312" w:hAnsi="仿宋_GB2312" w:eastAsia="仿宋_GB2312" w:cs="仿宋_GB2312"/>
          <w:color w:val="000000"/>
          <w:sz w:val="32"/>
          <w:szCs w:val="32"/>
        </w:rPr>
        <w:t>20</w:t>
      </w:r>
      <w:r>
        <w:rPr>
          <w:rFonts w:hint="eastAsia" w:ascii="仿宋_GB2312" w:hAnsi="仿宋_GB2312" w:eastAsia="仿宋_GB2312" w:cs="仿宋_GB2312"/>
          <w:color w:val="000000"/>
          <w:sz w:val="32"/>
          <w:szCs w:val="32"/>
        </w:rPr>
        <w:t>年，部门财政拨款</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三公</w:t>
      </w:r>
      <w:r>
        <w:rPr>
          <w:rFonts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经费预算总额</w:t>
      </w:r>
      <w:r>
        <w:rPr>
          <w:rFonts w:ascii="仿宋_GB2312" w:hAnsi="仿宋_GB2312" w:eastAsia="仿宋_GB2312" w:cs="仿宋_GB2312"/>
          <w:color w:val="000000"/>
          <w:sz w:val="32"/>
          <w:szCs w:val="32"/>
        </w:rPr>
        <w:t>11.34</w:t>
      </w:r>
      <w:r>
        <w:rPr>
          <w:rFonts w:hint="eastAsia" w:ascii="仿宋_GB2312" w:hAnsi="仿宋_GB2312" w:eastAsia="仿宋_GB2312" w:cs="仿宋_GB2312"/>
          <w:color w:val="000000"/>
          <w:sz w:val="32"/>
          <w:szCs w:val="32"/>
        </w:rPr>
        <w:t>万元，其中</w:t>
      </w:r>
      <w:r>
        <w:rPr>
          <w:rFonts w:ascii="仿宋_GB2312" w:hAnsi="仿宋_GB2312" w:eastAsia="仿宋_GB2312" w:cs="仿宋_GB2312"/>
          <w:color w:val="000000"/>
          <w:sz w:val="32"/>
          <w:szCs w:val="32"/>
        </w:rPr>
        <w:t>一般公</w:t>
      </w:r>
      <w:r>
        <w:rPr>
          <w:rFonts w:hint="eastAsia" w:ascii="仿宋_GB2312" w:hAnsi="仿宋_GB2312" w:eastAsia="仿宋_GB2312" w:cs="仿宋_GB2312"/>
          <w:color w:val="000000"/>
          <w:sz w:val="32"/>
          <w:szCs w:val="32"/>
        </w:rPr>
        <w:t>共</w:t>
      </w:r>
      <w:r>
        <w:rPr>
          <w:rFonts w:ascii="仿宋_GB2312" w:hAnsi="仿宋_GB2312" w:eastAsia="仿宋_GB2312" w:cs="仿宋_GB2312"/>
          <w:color w:val="000000"/>
          <w:sz w:val="32"/>
          <w:szCs w:val="32"/>
        </w:rPr>
        <w:t>预算总额</w:t>
      </w:r>
      <w:r>
        <w:rPr>
          <w:rFonts w:hint="eastAsia" w:ascii="仿宋_GB2312" w:hAnsi="仿宋_GB2312" w:eastAsia="仿宋_GB2312" w:cs="仿宋_GB2312"/>
          <w:color w:val="000000"/>
          <w:sz w:val="32"/>
          <w:szCs w:val="32"/>
        </w:rPr>
        <w:t>11.34万</w:t>
      </w:r>
      <w:r>
        <w:rPr>
          <w:rFonts w:ascii="仿宋_GB2312" w:hAnsi="仿宋_GB2312" w:eastAsia="仿宋_GB2312" w:cs="仿宋_GB2312"/>
          <w:color w:val="000000"/>
          <w:sz w:val="32"/>
          <w:szCs w:val="32"/>
        </w:rPr>
        <w:t>元</w:t>
      </w:r>
      <w:r>
        <w:rPr>
          <w:rFonts w:hint="eastAsia" w:ascii="仿宋_GB2312" w:hAnsi="仿宋_GB2312" w:eastAsia="仿宋_GB2312" w:cs="仿宋_GB2312"/>
          <w:color w:val="000000"/>
          <w:sz w:val="32"/>
          <w:szCs w:val="32"/>
        </w:rPr>
        <w:t>，较上年减少</w:t>
      </w:r>
      <w:r>
        <w:rPr>
          <w:rFonts w:ascii="仿宋_GB2312" w:hAnsi="仿宋_GB2312" w:eastAsia="仿宋_GB2312" w:cs="仿宋_GB2312"/>
          <w:color w:val="000000"/>
          <w:sz w:val="32"/>
          <w:szCs w:val="32"/>
        </w:rPr>
        <w:t>2.3</w:t>
      </w:r>
      <w:r>
        <w:rPr>
          <w:rFonts w:hint="eastAsia" w:ascii="仿宋_GB2312" w:hAnsi="仿宋_GB2312" w:eastAsia="仿宋_GB2312" w:cs="仿宋_GB2312"/>
          <w:color w:val="000000"/>
          <w:sz w:val="32"/>
          <w:szCs w:val="32"/>
        </w:rPr>
        <w:t>万元，其中，公务用车运行维护费</w:t>
      </w:r>
      <w:r>
        <w:rPr>
          <w:rFonts w:ascii="仿宋_GB2312" w:hAnsi="仿宋_GB2312" w:eastAsia="仿宋_GB2312" w:cs="仿宋_GB2312"/>
          <w:color w:val="000000"/>
          <w:sz w:val="32"/>
          <w:szCs w:val="32"/>
        </w:rPr>
        <w:t>5.8</w:t>
      </w:r>
      <w:r>
        <w:rPr>
          <w:rFonts w:hint="eastAsia" w:ascii="仿宋_GB2312" w:hAnsi="仿宋_GB2312" w:eastAsia="仿宋_GB2312" w:cs="仿宋_GB2312"/>
          <w:color w:val="000000"/>
          <w:sz w:val="32"/>
          <w:szCs w:val="32"/>
        </w:rPr>
        <w:t>万元，较上年减少</w:t>
      </w:r>
      <w:r>
        <w:rPr>
          <w:rFonts w:ascii="仿宋_GB2312" w:hAnsi="仿宋_GB2312" w:eastAsia="仿宋_GB2312" w:cs="仿宋_GB2312"/>
          <w:color w:val="000000"/>
          <w:sz w:val="32"/>
          <w:szCs w:val="32"/>
        </w:rPr>
        <w:t>0.4</w:t>
      </w:r>
      <w:r>
        <w:rPr>
          <w:rFonts w:hint="eastAsia" w:ascii="仿宋_GB2312" w:hAnsi="仿宋_GB2312" w:eastAsia="仿宋_GB2312" w:cs="仿宋_GB2312"/>
          <w:color w:val="000000"/>
          <w:sz w:val="32"/>
          <w:szCs w:val="32"/>
        </w:rPr>
        <w:t>万元；公务接待费</w:t>
      </w:r>
      <w:r>
        <w:rPr>
          <w:rFonts w:ascii="仿宋_GB2312" w:hAnsi="仿宋_GB2312" w:eastAsia="仿宋_GB2312" w:cs="仿宋_GB2312"/>
          <w:color w:val="000000"/>
          <w:sz w:val="32"/>
          <w:szCs w:val="32"/>
        </w:rPr>
        <w:t>5.54</w:t>
      </w:r>
      <w:r>
        <w:rPr>
          <w:rFonts w:hint="eastAsia" w:ascii="仿宋_GB2312" w:hAnsi="仿宋_GB2312" w:eastAsia="仿宋_GB2312" w:cs="仿宋_GB2312"/>
          <w:color w:val="000000"/>
          <w:sz w:val="32"/>
          <w:szCs w:val="32"/>
        </w:rPr>
        <w:t>万元，较上年减少</w:t>
      </w:r>
      <w:r>
        <w:rPr>
          <w:rFonts w:ascii="仿宋_GB2312" w:hAnsi="仿宋_GB2312" w:eastAsia="仿宋_GB2312" w:cs="仿宋_GB2312"/>
          <w:color w:val="000000"/>
          <w:sz w:val="32"/>
          <w:szCs w:val="32"/>
        </w:rPr>
        <w:t>1.9</w:t>
      </w:r>
      <w:r>
        <w:rPr>
          <w:rFonts w:hint="eastAsia" w:ascii="仿宋_GB2312" w:hAnsi="仿宋_GB2312" w:eastAsia="仿宋_GB2312" w:cs="仿宋_GB2312"/>
          <w:color w:val="000000"/>
          <w:sz w:val="32"/>
          <w:szCs w:val="32"/>
        </w:rPr>
        <w:t>万元。减少的主要原因为：</w:t>
      </w:r>
      <w:r>
        <w:rPr>
          <w:rFonts w:hint="eastAsia" w:ascii="仿宋_GB2312" w:hAnsi="仿宋" w:eastAsia="仿宋_GB2312"/>
          <w:color w:val="212121"/>
          <w:sz w:val="32"/>
          <w:szCs w:val="32"/>
        </w:rPr>
        <w:t>严格按照中央八项规定厉行节约的原则，对三公经费预算支出计划进行了压缩。</w:t>
      </w:r>
    </w:p>
    <w:p>
      <w:pPr>
        <w:rPr>
          <w:rFonts w:ascii="黑体" w:eastAsia="黑体"/>
          <w:sz w:val="32"/>
          <w:szCs w:val="32"/>
        </w:rPr>
      </w:pPr>
      <w:r>
        <w:rPr>
          <w:rFonts w:hint="eastAsia" w:ascii="黑体" w:eastAsia="黑体"/>
          <w:sz w:val="32"/>
          <w:szCs w:val="32"/>
        </w:rPr>
        <w:t>五</w:t>
      </w:r>
      <w:r>
        <w:rPr>
          <w:rFonts w:ascii="黑体" w:eastAsia="黑体"/>
          <w:sz w:val="32"/>
          <w:szCs w:val="32"/>
        </w:rPr>
        <w:t>、</w:t>
      </w:r>
      <w:r>
        <w:rPr>
          <w:rFonts w:hint="eastAsia" w:ascii="黑体" w:eastAsia="黑体"/>
          <w:sz w:val="32"/>
          <w:szCs w:val="32"/>
        </w:rPr>
        <w:t>政府采购预算情况</w:t>
      </w:r>
    </w:p>
    <w:p>
      <w:pPr>
        <w:rPr>
          <w:rFonts w:ascii="仿宋_GB2312" w:hAnsi="仿宋" w:eastAsia="仿宋_GB2312"/>
          <w:spacing w:val="-16"/>
          <w:kern w:val="0"/>
          <w:szCs w:val="21"/>
        </w:rPr>
      </w:pPr>
      <w:r>
        <w:rPr>
          <w:rFonts w:hint="eastAsia" w:ascii="仿宋_GB2312" w:hAnsi="仿宋" w:eastAsia="仿宋_GB2312"/>
          <w:spacing w:val="-16"/>
          <w:kern w:val="0"/>
          <w:sz w:val="28"/>
          <w:szCs w:val="28"/>
        </w:rPr>
        <w:t>秦皇岛出口加工区管理委员会</w:t>
      </w:r>
      <w:r>
        <w:rPr>
          <w:rFonts w:hint="eastAsia" w:ascii="仿宋_GB2312" w:hAnsi="仿宋" w:eastAsia="仿宋_GB2312"/>
          <w:spacing w:val="-16"/>
          <w:kern w:val="0"/>
          <w:sz w:val="32"/>
          <w:szCs w:val="32"/>
        </w:rPr>
        <w:t xml:space="preserve">                                                                   </w:t>
      </w:r>
      <w:r>
        <w:rPr>
          <w:rFonts w:hint="eastAsia" w:ascii="仿宋_GB2312" w:hAnsi="仿宋" w:eastAsia="仿宋_GB2312"/>
          <w:spacing w:val="-16"/>
          <w:kern w:val="0"/>
          <w:szCs w:val="21"/>
        </w:rPr>
        <w:t>单位：万元</w:t>
      </w:r>
    </w:p>
    <w:tbl>
      <w:tblPr>
        <w:tblStyle w:val="8"/>
        <w:tblW w:w="13760" w:type="dxa"/>
        <w:tblInd w:w="95" w:type="dxa"/>
        <w:tblLayout w:type="fixed"/>
        <w:tblCellMar>
          <w:top w:w="0" w:type="dxa"/>
          <w:left w:w="108" w:type="dxa"/>
          <w:bottom w:w="0" w:type="dxa"/>
          <w:right w:w="108" w:type="dxa"/>
        </w:tblCellMar>
      </w:tblPr>
      <w:tblGrid>
        <w:gridCol w:w="1880"/>
        <w:gridCol w:w="1080"/>
        <w:gridCol w:w="1080"/>
        <w:gridCol w:w="1080"/>
        <w:gridCol w:w="1080"/>
        <w:gridCol w:w="1080"/>
        <w:gridCol w:w="1080"/>
        <w:gridCol w:w="1080"/>
        <w:gridCol w:w="1080"/>
        <w:gridCol w:w="1080"/>
        <w:gridCol w:w="1080"/>
        <w:gridCol w:w="1080"/>
      </w:tblGrid>
      <w:tr>
        <w:tblPrEx>
          <w:tblCellMar>
            <w:top w:w="0" w:type="dxa"/>
            <w:left w:w="108" w:type="dxa"/>
            <w:bottom w:w="0" w:type="dxa"/>
            <w:right w:w="108" w:type="dxa"/>
          </w:tblCellMar>
        </w:tblPrEx>
        <w:trPr>
          <w:trHeight w:val="675" w:hRule="atLeast"/>
        </w:trPr>
        <w:tc>
          <w:tcPr>
            <w:tcW w:w="2960"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政府采购项目来源</w:t>
            </w:r>
          </w:p>
        </w:tc>
        <w:tc>
          <w:tcPr>
            <w:tcW w:w="1080" w:type="dxa"/>
            <w:vMerge w:val="restart"/>
            <w:tcBorders>
              <w:top w:val="single" w:color="000000" w:sz="8" w:space="0"/>
              <w:left w:val="single" w:color="000000" w:sz="8" w:space="0"/>
              <w:bottom w:val="single" w:color="000000" w:sz="8" w:space="0"/>
              <w:right w:val="nil"/>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采购物品名称</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数量</w:t>
            </w:r>
          </w:p>
        </w:tc>
        <w:tc>
          <w:tcPr>
            <w:tcW w:w="10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单价</w:t>
            </w:r>
          </w:p>
        </w:tc>
        <w:tc>
          <w:tcPr>
            <w:tcW w:w="7560" w:type="dxa"/>
            <w:gridSpan w:val="7"/>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政府采购金额</w:t>
            </w:r>
          </w:p>
        </w:tc>
      </w:tr>
      <w:tr>
        <w:tblPrEx>
          <w:tblCellMar>
            <w:top w:w="0" w:type="dxa"/>
            <w:left w:w="108" w:type="dxa"/>
            <w:bottom w:w="0" w:type="dxa"/>
            <w:right w:w="108" w:type="dxa"/>
          </w:tblCellMar>
        </w:tblPrEx>
        <w:trPr>
          <w:trHeight w:val="690" w:hRule="atLeast"/>
        </w:trPr>
        <w:tc>
          <w:tcPr>
            <w:tcW w:w="18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项目名称</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预算资金</w:t>
            </w:r>
          </w:p>
        </w:tc>
        <w:tc>
          <w:tcPr>
            <w:tcW w:w="1080" w:type="dxa"/>
            <w:vMerge w:val="continue"/>
            <w:tcBorders>
              <w:top w:val="single" w:color="000000" w:sz="8" w:space="0"/>
              <w:left w:val="single" w:color="000000" w:sz="8" w:space="0"/>
              <w:bottom w:val="single" w:color="000000" w:sz="8" w:space="0"/>
              <w:right w:val="nil"/>
            </w:tcBorders>
            <w:vAlign w:val="center"/>
          </w:tcPr>
          <w:p>
            <w:pPr>
              <w:widowControl/>
              <w:jc w:val="left"/>
              <w:rPr>
                <w:rFonts w:ascii="仿宋" w:hAnsi="仿宋" w:eastAsia="仿宋" w:cs="宋体"/>
                <w:b/>
                <w:bCs/>
                <w:kern w:val="0"/>
                <w:szCs w:val="21"/>
              </w:rPr>
            </w:pPr>
          </w:p>
        </w:tc>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b/>
                <w:bCs/>
                <w:kern w:val="0"/>
                <w:szCs w:val="21"/>
              </w:rPr>
            </w:pPr>
          </w:p>
        </w:tc>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b/>
                <w:bCs/>
                <w:kern w:val="0"/>
                <w:szCs w:val="21"/>
              </w:rPr>
            </w:pP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总计</w:t>
            </w:r>
          </w:p>
        </w:tc>
        <w:tc>
          <w:tcPr>
            <w:tcW w:w="5400" w:type="dxa"/>
            <w:gridSpan w:val="5"/>
            <w:tcBorders>
              <w:top w:val="single" w:color="000000" w:sz="8" w:space="0"/>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当年部门预算安排资金</w:t>
            </w:r>
          </w:p>
        </w:tc>
        <w:tc>
          <w:tcPr>
            <w:tcW w:w="1080" w:type="dxa"/>
            <w:vMerge w:val="restart"/>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其他渠道资金</w:t>
            </w:r>
          </w:p>
        </w:tc>
      </w:tr>
      <w:tr>
        <w:tblPrEx>
          <w:tblCellMar>
            <w:top w:w="0" w:type="dxa"/>
            <w:left w:w="108" w:type="dxa"/>
            <w:bottom w:w="0" w:type="dxa"/>
            <w:right w:w="108" w:type="dxa"/>
          </w:tblCellMar>
        </w:tblPrEx>
        <w:trPr>
          <w:trHeight w:val="705" w:hRule="atLeast"/>
        </w:trPr>
        <w:tc>
          <w:tcPr>
            <w:tcW w:w="18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b/>
                <w:bCs/>
                <w:kern w:val="0"/>
                <w:szCs w:val="21"/>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b/>
                <w:bCs/>
                <w:kern w:val="0"/>
                <w:szCs w:val="21"/>
              </w:rPr>
            </w:pPr>
          </w:p>
        </w:tc>
        <w:tc>
          <w:tcPr>
            <w:tcW w:w="1080" w:type="dxa"/>
            <w:vMerge w:val="continue"/>
            <w:tcBorders>
              <w:top w:val="single" w:color="000000" w:sz="8" w:space="0"/>
              <w:left w:val="single" w:color="000000" w:sz="8" w:space="0"/>
              <w:bottom w:val="single" w:color="000000" w:sz="8" w:space="0"/>
              <w:right w:val="nil"/>
            </w:tcBorders>
            <w:vAlign w:val="center"/>
          </w:tcPr>
          <w:p>
            <w:pPr>
              <w:widowControl/>
              <w:jc w:val="left"/>
              <w:rPr>
                <w:rFonts w:ascii="仿宋" w:hAnsi="仿宋" w:eastAsia="仿宋" w:cs="宋体"/>
                <w:b/>
                <w:bCs/>
                <w:kern w:val="0"/>
                <w:szCs w:val="21"/>
              </w:rPr>
            </w:pPr>
          </w:p>
        </w:tc>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b/>
                <w:bCs/>
                <w:kern w:val="0"/>
                <w:szCs w:val="21"/>
              </w:rPr>
            </w:pPr>
          </w:p>
        </w:tc>
        <w:tc>
          <w:tcPr>
            <w:tcW w:w="108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仿宋" w:hAnsi="仿宋" w:eastAsia="仿宋" w:cs="宋体"/>
                <w:b/>
                <w:bCs/>
                <w:kern w:val="0"/>
                <w:szCs w:val="21"/>
              </w:rPr>
            </w:pP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仿宋" w:hAnsi="仿宋" w:eastAsia="仿宋" w:cs="宋体"/>
                <w:b/>
                <w:bCs/>
                <w:kern w:val="0"/>
                <w:szCs w:val="21"/>
              </w:rPr>
            </w:pP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合计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一般公共预算拨款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基金预算拨款</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财政专户核拨</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其他来源收入</w:t>
            </w:r>
          </w:p>
        </w:tc>
        <w:tc>
          <w:tcPr>
            <w:tcW w:w="1080" w:type="dxa"/>
            <w:vMerge w:val="continue"/>
            <w:tcBorders>
              <w:top w:val="nil"/>
              <w:left w:val="single" w:color="000000" w:sz="8" w:space="0"/>
              <w:bottom w:val="single" w:color="000000" w:sz="8" w:space="0"/>
              <w:right w:val="single" w:color="000000" w:sz="8" w:space="0"/>
            </w:tcBorders>
            <w:vAlign w:val="center"/>
          </w:tcPr>
          <w:p>
            <w:pPr>
              <w:widowControl/>
              <w:jc w:val="left"/>
              <w:rPr>
                <w:rFonts w:ascii="方正书宋_GBK" w:hAnsi="宋体" w:eastAsia="方正书宋_GBK" w:cs="宋体"/>
                <w:b/>
                <w:bCs/>
                <w:kern w:val="0"/>
                <w:szCs w:val="21"/>
              </w:rPr>
            </w:pPr>
          </w:p>
        </w:tc>
      </w:tr>
      <w:tr>
        <w:tblPrEx>
          <w:tblCellMar>
            <w:top w:w="0" w:type="dxa"/>
            <w:left w:w="108" w:type="dxa"/>
            <w:bottom w:w="0" w:type="dxa"/>
            <w:right w:w="108" w:type="dxa"/>
          </w:tblCellMar>
        </w:tblPrEx>
        <w:trPr>
          <w:trHeight w:val="780" w:hRule="atLeast"/>
        </w:trPr>
        <w:tc>
          <w:tcPr>
            <w:tcW w:w="1880" w:type="dxa"/>
            <w:tcBorders>
              <w:top w:val="nil"/>
              <w:left w:val="single" w:color="000000" w:sz="8" w:space="0"/>
              <w:bottom w:val="nil"/>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秦皇岛出口加工区管理委员会小计</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182.45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182.45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182.45</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仿宋" w:hAnsi="仿宋" w:eastAsia="仿宋" w:cs="宋体"/>
                <w:b/>
                <w:bCs/>
                <w:kern w:val="0"/>
                <w:szCs w:val="21"/>
              </w:rPr>
            </w:pPr>
            <w:r>
              <w:rPr>
                <w:rFonts w:hint="eastAsia" w:ascii="仿宋" w:hAnsi="仿宋" w:eastAsia="仿宋" w:cs="宋体"/>
                <w:b/>
                <w:bCs/>
                <w:kern w:val="0"/>
                <w:szCs w:val="21"/>
              </w:rPr>
              <w:t>　</w:t>
            </w:r>
          </w:p>
        </w:tc>
        <w:tc>
          <w:tcPr>
            <w:tcW w:w="1080" w:type="dxa"/>
            <w:tcBorders>
              <w:top w:val="nil"/>
              <w:left w:val="nil"/>
              <w:bottom w:val="single" w:color="000000" w:sz="8" w:space="0"/>
              <w:right w:val="single" w:color="000000" w:sz="8" w:space="0"/>
            </w:tcBorders>
            <w:shd w:val="clear" w:color="auto" w:fill="auto"/>
            <w:vAlign w:val="center"/>
          </w:tcPr>
          <w:p>
            <w:pPr>
              <w:widowControl/>
              <w:jc w:val="center"/>
              <w:rPr>
                <w:rFonts w:ascii="方正书宋_GBK" w:hAnsi="宋体" w:eastAsia="方正书宋_GBK" w:cs="宋体"/>
                <w:b/>
                <w:bCs/>
                <w:kern w:val="0"/>
                <w:szCs w:val="21"/>
              </w:rPr>
            </w:pPr>
            <w:r>
              <w:rPr>
                <w:rFonts w:hint="eastAsia" w:ascii="方正书宋_GBK" w:hAnsi="宋体" w:eastAsia="方正书宋_GBK" w:cs="宋体"/>
                <w:b/>
                <w:bCs/>
                <w:kern w:val="0"/>
                <w:szCs w:val="21"/>
              </w:rPr>
              <w:t>　</w:t>
            </w:r>
          </w:p>
        </w:tc>
      </w:tr>
      <w:tr>
        <w:tblPrEx>
          <w:tblCellMar>
            <w:top w:w="0" w:type="dxa"/>
            <w:left w:w="108" w:type="dxa"/>
            <w:bottom w:w="0" w:type="dxa"/>
            <w:right w:w="108" w:type="dxa"/>
          </w:tblCellMar>
        </w:tblPrEx>
        <w:trPr>
          <w:trHeight w:val="690" w:hRule="atLeast"/>
        </w:trPr>
        <w:tc>
          <w:tcPr>
            <w:tcW w:w="1880" w:type="dxa"/>
            <w:tcBorders>
              <w:top w:val="single" w:color="auto" w:sz="8" w:space="0"/>
              <w:left w:val="single" w:color="auto" w:sz="8" w:space="0"/>
              <w:bottom w:val="single" w:color="auto" w:sz="4" w:space="0"/>
              <w:right w:val="single" w:color="auto" w:sz="8" w:space="0"/>
            </w:tcBorders>
            <w:shd w:val="clear" w:color="auto" w:fill="auto"/>
            <w:vAlign w:val="bottom"/>
          </w:tcPr>
          <w:p>
            <w:pPr>
              <w:widowControl/>
              <w:jc w:val="center"/>
              <w:rPr>
                <w:rFonts w:ascii="仿宋" w:hAnsi="仿宋" w:eastAsia="仿宋" w:cs="宋体"/>
                <w:kern w:val="0"/>
                <w:szCs w:val="21"/>
              </w:rPr>
            </w:pPr>
            <w:r>
              <w:rPr>
                <w:rFonts w:hint="eastAsia" w:ascii="仿宋" w:hAnsi="仿宋" w:eastAsia="仿宋" w:cs="宋体"/>
                <w:kern w:val="0"/>
                <w:szCs w:val="21"/>
              </w:rPr>
              <w:t>加</w:t>
            </w:r>
            <w:r>
              <w:rPr>
                <w:rFonts w:ascii="仿宋" w:hAnsi="仿宋" w:eastAsia="仿宋" w:cs="宋体"/>
                <w:kern w:val="0"/>
                <w:szCs w:val="21"/>
              </w:rPr>
              <w:t>工</w:t>
            </w:r>
            <w:r>
              <w:rPr>
                <w:rFonts w:hint="eastAsia" w:ascii="仿宋" w:hAnsi="仿宋" w:eastAsia="仿宋" w:cs="宋体"/>
                <w:kern w:val="0"/>
                <w:szCs w:val="21"/>
              </w:rPr>
              <w:t>区</w:t>
            </w:r>
            <w:r>
              <w:rPr>
                <w:rFonts w:ascii="仿宋" w:hAnsi="仿宋" w:eastAsia="仿宋" w:cs="宋体"/>
                <w:kern w:val="0"/>
                <w:szCs w:val="21"/>
              </w:rPr>
              <w:t>物</w:t>
            </w:r>
            <w:r>
              <w:rPr>
                <w:rFonts w:hint="eastAsia" w:ascii="仿宋" w:hAnsi="仿宋" w:eastAsia="仿宋" w:cs="宋体"/>
                <w:kern w:val="0"/>
                <w:szCs w:val="21"/>
              </w:rPr>
              <w:t>业</w:t>
            </w:r>
            <w:r>
              <w:rPr>
                <w:rFonts w:ascii="仿宋" w:hAnsi="仿宋" w:eastAsia="仿宋" w:cs="宋体"/>
                <w:kern w:val="0"/>
                <w:szCs w:val="21"/>
              </w:rPr>
              <w:t>管理费</w:t>
            </w:r>
          </w:p>
        </w:tc>
        <w:tc>
          <w:tcPr>
            <w:tcW w:w="1080" w:type="dxa"/>
            <w:tcBorders>
              <w:top w:val="nil"/>
              <w:left w:val="nil"/>
              <w:bottom w:val="single" w:color="auto" w:sz="4" w:space="0"/>
              <w:right w:val="single" w:color="000000" w:sz="8"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89.2</w:t>
            </w:r>
          </w:p>
        </w:tc>
        <w:tc>
          <w:tcPr>
            <w:tcW w:w="1080" w:type="dxa"/>
            <w:tcBorders>
              <w:top w:val="nil"/>
              <w:left w:val="nil"/>
              <w:bottom w:val="single" w:color="auto" w:sz="4" w:space="0"/>
              <w:right w:val="single" w:color="000000" w:sz="8"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物</w:t>
            </w:r>
            <w:r>
              <w:rPr>
                <w:rFonts w:ascii="仿宋" w:hAnsi="仿宋" w:eastAsia="仿宋" w:cs="宋体"/>
                <w:kern w:val="0"/>
                <w:szCs w:val="21"/>
              </w:rPr>
              <w:t>业管理服务</w:t>
            </w:r>
          </w:p>
        </w:tc>
        <w:tc>
          <w:tcPr>
            <w:tcW w:w="1080" w:type="dxa"/>
            <w:tcBorders>
              <w:top w:val="nil"/>
              <w:left w:val="nil"/>
              <w:bottom w:val="single" w:color="auto" w:sz="4" w:space="0"/>
              <w:right w:val="single" w:color="000000" w:sz="8"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1080" w:type="dxa"/>
            <w:tcBorders>
              <w:top w:val="nil"/>
              <w:left w:val="nil"/>
              <w:bottom w:val="single" w:color="auto" w:sz="4" w:space="0"/>
              <w:right w:val="single" w:color="000000" w:sz="8"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89.2</w:t>
            </w:r>
          </w:p>
        </w:tc>
        <w:tc>
          <w:tcPr>
            <w:tcW w:w="1080" w:type="dxa"/>
            <w:tcBorders>
              <w:top w:val="nil"/>
              <w:left w:val="nil"/>
              <w:bottom w:val="single" w:color="auto" w:sz="4" w:space="0"/>
              <w:right w:val="single" w:color="000000" w:sz="8"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89.2</w:t>
            </w:r>
          </w:p>
        </w:tc>
        <w:tc>
          <w:tcPr>
            <w:tcW w:w="1080" w:type="dxa"/>
            <w:tcBorders>
              <w:top w:val="nil"/>
              <w:left w:val="nil"/>
              <w:bottom w:val="single" w:color="auto" w:sz="4" w:space="0"/>
              <w:right w:val="single" w:color="000000" w:sz="8"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89.2</w:t>
            </w:r>
          </w:p>
        </w:tc>
        <w:tc>
          <w:tcPr>
            <w:tcW w:w="1080" w:type="dxa"/>
            <w:tcBorders>
              <w:top w:val="nil"/>
              <w:left w:val="nil"/>
              <w:bottom w:val="single" w:color="auto" w:sz="4" w:space="0"/>
              <w:right w:val="single" w:color="000000" w:sz="8"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89.2</w:t>
            </w:r>
          </w:p>
        </w:tc>
        <w:tc>
          <w:tcPr>
            <w:tcW w:w="1080" w:type="dxa"/>
            <w:tcBorders>
              <w:top w:val="nil"/>
              <w:left w:val="nil"/>
              <w:bottom w:val="single" w:color="auto" w:sz="4" w:space="0"/>
              <w:right w:val="single" w:color="000000" w:sz="8"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1080" w:type="dxa"/>
            <w:tcBorders>
              <w:top w:val="nil"/>
              <w:left w:val="nil"/>
              <w:bottom w:val="single" w:color="auto" w:sz="4" w:space="0"/>
              <w:right w:val="single" w:color="000000" w:sz="8"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1080" w:type="dxa"/>
            <w:tcBorders>
              <w:top w:val="nil"/>
              <w:left w:val="nil"/>
              <w:bottom w:val="single" w:color="auto" w:sz="4" w:space="0"/>
              <w:right w:val="single" w:color="000000" w:sz="8"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1080" w:type="dxa"/>
            <w:tcBorders>
              <w:top w:val="nil"/>
              <w:left w:val="nil"/>
              <w:bottom w:val="single" w:color="auto" w:sz="4" w:space="0"/>
              <w:right w:val="single" w:color="000000" w:sz="8" w:space="0"/>
            </w:tcBorders>
            <w:shd w:val="clear" w:color="auto" w:fill="auto"/>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CellMar>
            <w:top w:w="0" w:type="dxa"/>
            <w:left w:w="108" w:type="dxa"/>
            <w:bottom w:w="0" w:type="dxa"/>
            <w:right w:w="108" w:type="dxa"/>
          </w:tblCellMar>
        </w:tblPrEx>
        <w:trPr>
          <w:trHeight w:val="904" w:hRule="atLeast"/>
        </w:trPr>
        <w:tc>
          <w:tcPr>
            <w:tcW w:w="18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2019年</w:t>
            </w:r>
            <w:r>
              <w:rPr>
                <w:rFonts w:ascii="仿宋" w:hAnsi="仿宋" w:eastAsia="仿宋" w:cs="宋体"/>
                <w:kern w:val="0"/>
                <w:szCs w:val="21"/>
              </w:rPr>
              <w:t>度一期物业费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24.25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物业</w:t>
            </w:r>
            <w:r>
              <w:rPr>
                <w:rFonts w:ascii="仿宋" w:hAnsi="仿宋" w:eastAsia="仿宋" w:cs="宋体"/>
                <w:kern w:val="0"/>
                <w:szCs w:val="21"/>
              </w:rPr>
              <w:t>管理</w:t>
            </w:r>
            <w:r>
              <w:rPr>
                <w:rFonts w:hint="eastAsia" w:ascii="仿宋" w:hAnsi="仿宋" w:eastAsia="仿宋" w:cs="宋体"/>
                <w:kern w:val="0"/>
                <w:szCs w:val="21"/>
              </w:rPr>
              <w:t>服务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24.25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24.25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24.25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24.25</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书宋_GBK" w:hAnsi="宋体" w:eastAsia="方正书宋_GBK" w:cs="宋体"/>
                <w:kern w:val="0"/>
                <w:szCs w:val="21"/>
              </w:rPr>
            </w:pPr>
            <w:r>
              <w:rPr>
                <w:rFonts w:hint="eastAsia" w:ascii="方正书宋_GBK" w:hAnsi="宋体" w:eastAsia="方正书宋_GBK" w:cs="宋体"/>
                <w:kern w:val="0"/>
                <w:szCs w:val="21"/>
              </w:rPr>
              <w:t>　</w:t>
            </w:r>
          </w:p>
        </w:tc>
      </w:tr>
      <w:tr>
        <w:tblPrEx>
          <w:tblCellMar>
            <w:top w:w="0" w:type="dxa"/>
            <w:left w:w="108" w:type="dxa"/>
            <w:bottom w:w="0" w:type="dxa"/>
            <w:right w:w="108" w:type="dxa"/>
          </w:tblCellMar>
        </w:tblPrEx>
        <w:trPr>
          <w:trHeight w:val="1116" w:hRule="atLeast"/>
        </w:trPr>
        <w:tc>
          <w:tcPr>
            <w:tcW w:w="18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2016年</w:t>
            </w:r>
            <w:r>
              <w:rPr>
                <w:rFonts w:ascii="仿宋" w:hAnsi="仿宋" w:eastAsia="仿宋" w:cs="宋体"/>
                <w:kern w:val="0"/>
                <w:szCs w:val="21"/>
              </w:rPr>
              <w:t>度海关辅助管理系统软件尾款</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49</w:t>
            </w:r>
            <w:r>
              <w:rPr>
                <w:rFonts w:ascii="仿宋" w:hAnsi="仿宋" w:eastAsia="仿宋" w:cs="宋体"/>
                <w:kern w:val="0"/>
                <w:szCs w:val="21"/>
              </w:rPr>
              <w:t>.00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其他</w:t>
            </w:r>
            <w:r>
              <w:rPr>
                <w:rFonts w:ascii="仿宋" w:hAnsi="仿宋" w:eastAsia="仿宋" w:cs="宋体"/>
                <w:kern w:val="0"/>
                <w:szCs w:val="21"/>
              </w:rPr>
              <w:t>计算机软件</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49.00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49.00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49.00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49.00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书宋_GBK" w:hAnsi="宋体" w:eastAsia="方正书宋_GBK" w:cs="宋体"/>
                <w:kern w:val="0"/>
                <w:szCs w:val="21"/>
              </w:rPr>
            </w:pPr>
          </w:p>
        </w:tc>
      </w:tr>
      <w:tr>
        <w:tblPrEx>
          <w:tblCellMar>
            <w:top w:w="0" w:type="dxa"/>
            <w:left w:w="108" w:type="dxa"/>
            <w:bottom w:w="0" w:type="dxa"/>
            <w:right w:w="108" w:type="dxa"/>
          </w:tblCellMar>
        </w:tblPrEx>
        <w:trPr>
          <w:trHeight w:val="1155" w:hRule="atLeast"/>
        </w:trPr>
        <w:tc>
          <w:tcPr>
            <w:tcW w:w="18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综</w:t>
            </w:r>
            <w:r>
              <w:rPr>
                <w:rFonts w:ascii="仿宋" w:hAnsi="仿宋" w:eastAsia="仿宋" w:cs="宋体"/>
                <w:kern w:val="0"/>
                <w:szCs w:val="21"/>
              </w:rPr>
              <w:t>保区开发实施方案和产业发展规划设计费</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20.00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社会</w:t>
            </w:r>
            <w:r>
              <w:rPr>
                <w:rFonts w:ascii="仿宋" w:hAnsi="仿宋" w:eastAsia="仿宋" w:cs="宋体"/>
                <w:kern w:val="0"/>
                <w:szCs w:val="21"/>
              </w:rPr>
              <w:t>与</w:t>
            </w:r>
            <w:r>
              <w:rPr>
                <w:rFonts w:hint="eastAsia" w:ascii="仿宋" w:hAnsi="仿宋" w:eastAsia="仿宋" w:cs="宋体"/>
                <w:kern w:val="0"/>
                <w:szCs w:val="21"/>
              </w:rPr>
              <w:t>管理</w:t>
            </w:r>
            <w:r>
              <w:rPr>
                <w:rFonts w:ascii="仿宋" w:hAnsi="仿宋" w:eastAsia="仿宋" w:cs="宋体"/>
                <w:kern w:val="0"/>
                <w:szCs w:val="21"/>
              </w:rPr>
              <w:t>咨询服务</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1</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ascii="仿宋" w:hAnsi="仿宋" w:eastAsia="仿宋" w:cs="宋体"/>
                <w:kern w:val="0"/>
                <w:szCs w:val="21"/>
              </w:rPr>
              <w:t>20.00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20.00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20.00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r>
              <w:rPr>
                <w:rFonts w:hint="eastAsia" w:ascii="仿宋" w:hAnsi="仿宋" w:eastAsia="仿宋" w:cs="宋体"/>
                <w:kern w:val="0"/>
                <w:szCs w:val="21"/>
              </w:rPr>
              <w:t>20.00</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Cs w:val="21"/>
              </w:rPr>
            </w:pP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方正书宋_GBK" w:hAnsi="宋体" w:eastAsia="方正书宋_GBK" w:cs="宋体"/>
                <w:kern w:val="0"/>
                <w:szCs w:val="21"/>
              </w:rPr>
            </w:pPr>
          </w:p>
        </w:tc>
      </w:tr>
    </w:tbl>
    <w:p>
      <w:pPr>
        <w:rPr>
          <w:rFonts w:hAnsi="黑体" w:eastAsia="黑体"/>
          <w:spacing w:val="-16"/>
          <w:kern w:val="0"/>
          <w:sz w:val="32"/>
          <w:szCs w:val="32"/>
        </w:rPr>
        <w:sectPr>
          <w:pgSz w:w="16838" w:h="11906" w:orient="landscape"/>
          <w:pgMar w:top="1797" w:right="1440" w:bottom="1797" w:left="1440" w:header="851" w:footer="992" w:gutter="0"/>
          <w:cols w:space="720" w:num="1"/>
          <w:docGrid w:type="linesAndChars" w:linePitch="312" w:charSpace="0"/>
        </w:sectPr>
      </w:pPr>
    </w:p>
    <w:p>
      <w:pPr>
        <w:rPr>
          <w:rFonts w:eastAsia="黑体"/>
          <w:sz w:val="32"/>
          <w:szCs w:val="32"/>
        </w:rPr>
      </w:pPr>
      <w:r>
        <w:rPr>
          <w:rFonts w:hint="eastAsia" w:eastAsia="黑体"/>
          <w:sz w:val="32"/>
          <w:szCs w:val="32"/>
        </w:rPr>
        <w:t>六</w:t>
      </w:r>
      <w:r>
        <w:rPr>
          <w:rFonts w:eastAsia="黑体"/>
          <w:sz w:val="32"/>
          <w:szCs w:val="32"/>
        </w:rPr>
        <w:t>、国有资产信息</w:t>
      </w:r>
    </w:p>
    <w:p>
      <w:pPr>
        <w:ind w:firstLine="640" w:firstLineChars="200"/>
        <w:rPr>
          <w:rFonts w:hint="eastAsia" w:ascii="仿宋_GB2312" w:hAnsi="仿宋" w:eastAsia="仿宋_GB2312"/>
          <w:b/>
          <w:sz w:val="32"/>
          <w:szCs w:val="32"/>
        </w:rPr>
      </w:pPr>
      <w:r>
        <w:rPr>
          <w:rFonts w:hint="eastAsia" w:ascii="仿宋_GB2312" w:hAnsi="仿宋" w:eastAsia="仿宋_GB2312"/>
          <w:sz w:val="32"/>
          <w:szCs w:val="32"/>
        </w:rPr>
        <w:t>秦皇岛出口加工区管理委员会部门上年末固定资产金额为</w:t>
      </w:r>
      <w:r>
        <w:rPr>
          <w:rFonts w:ascii="仿宋_GB2312" w:hAnsi="仿宋" w:eastAsia="仿宋_GB2312"/>
          <w:sz w:val="32"/>
          <w:szCs w:val="32"/>
        </w:rPr>
        <w:t>558.32</w:t>
      </w:r>
      <w:r>
        <w:rPr>
          <w:rFonts w:hint="eastAsia" w:ascii="仿宋_GB2312" w:hAnsi="仿宋" w:eastAsia="仿宋_GB2312"/>
          <w:sz w:val="32"/>
          <w:szCs w:val="32"/>
        </w:rPr>
        <w:t>万元（详见下表）。</w:t>
      </w:r>
    </w:p>
    <w:tbl>
      <w:tblPr>
        <w:tblStyle w:val="8"/>
        <w:tblpPr w:leftFromText="180" w:rightFromText="180" w:vertAnchor="page" w:horzAnchor="page" w:tblpX="1433" w:tblpY="3909"/>
        <w:tblW w:w="9250" w:type="dxa"/>
        <w:tblInd w:w="0" w:type="dxa"/>
        <w:tblLayout w:type="fixed"/>
        <w:tblCellMar>
          <w:top w:w="0" w:type="dxa"/>
          <w:left w:w="108" w:type="dxa"/>
          <w:bottom w:w="0" w:type="dxa"/>
          <w:right w:w="108" w:type="dxa"/>
        </w:tblCellMar>
      </w:tblPr>
      <w:tblGrid>
        <w:gridCol w:w="3137"/>
        <w:gridCol w:w="2043"/>
        <w:gridCol w:w="4070"/>
      </w:tblGrid>
      <w:tr>
        <w:tblPrEx>
          <w:tblCellMar>
            <w:top w:w="0" w:type="dxa"/>
            <w:left w:w="108" w:type="dxa"/>
            <w:bottom w:w="0" w:type="dxa"/>
            <w:right w:w="108" w:type="dxa"/>
          </w:tblCellMar>
        </w:tblPrEx>
        <w:trPr>
          <w:trHeight w:val="540" w:hRule="atLeast"/>
        </w:trPr>
        <w:tc>
          <w:tcPr>
            <w:tcW w:w="3137"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b/>
                <w:bCs/>
                <w:color w:val="333333"/>
                <w:kern w:val="0"/>
                <w:sz w:val="22"/>
                <w:szCs w:val="22"/>
              </w:rPr>
            </w:pPr>
            <w:r>
              <w:rPr>
                <w:rFonts w:hint="eastAsia" w:ascii="仿宋" w:hAnsi="仿宋" w:eastAsia="仿宋" w:cs="宋体"/>
                <w:b/>
                <w:bCs/>
                <w:color w:val="333333"/>
                <w:kern w:val="0"/>
                <w:sz w:val="22"/>
                <w:szCs w:val="22"/>
              </w:rPr>
              <w:t>项</w:t>
            </w:r>
            <w:r>
              <w:rPr>
                <w:rFonts w:hint="eastAsia" w:ascii="宋体" w:hAnsi="宋体" w:cs="宋体"/>
                <w:b/>
                <w:bCs/>
                <w:color w:val="333333"/>
                <w:kern w:val="0"/>
                <w:sz w:val="22"/>
                <w:szCs w:val="22"/>
              </w:rPr>
              <w:t>   </w:t>
            </w:r>
            <w:r>
              <w:rPr>
                <w:rFonts w:hint="eastAsia" w:ascii="仿宋" w:hAnsi="仿宋" w:eastAsia="仿宋" w:cs="宋体"/>
                <w:b/>
                <w:bCs/>
                <w:color w:val="333333"/>
                <w:kern w:val="0"/>
                <w:sz w:val="22"/>
                <w:szCs w:val="22"/>
              </w:rPr>
              <w:t>目</w:t>
            </w:r>
          </w:p>
        </w:tc>
        <w:tc>
          <w:tcPr>
            <w:tcW w:w="2043"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宋体"/>
                <w:b/>
                <w:bCs/>
                <w:color w:val="333333"/>
                <w:kern w:val="0"/>
                <w:sz w:val="22"/>
                <w:szCs w:val="22"/>
              </w:rPr>
            </w:pPr>
            <w:r>
              <w:rPr>
                <w:rFonts w:hint="eastAsia" w:ascii="仿宋" w:hAnsi="仿宋" w:eastAsia="仿宋" w:cs="宋体"/>
                <w:b/>
                <w:bCs/>
                <w:color w:val="333333"/>
                <w:kern w:val="0"/>
                <w:sz w:val="22"/>
                <w:szCs w:val="22"/>
              </w:rPr>
              <w:t>数量</w:t>
            </w:r>
          </w:p>
        </w:tc>
        <w:tc>
          <w:tcPr>
            <w:tcW w:w="4070" w:type="dxa"/>
            <w:tcBorders>
              <w:top w:val="single" w:color="auto" w:sz="4" w:space="0"/>
              <w:left w:val="nil"/>
              <w:bottom w:val="single" w:color="auto" w:sz="4" w:space="0"/>
              <w:right w:val="single" w:color="auto" w:sz="4" w:space="0"/>
            </w:tcBorders>
            <w:shd w:val="clear" w:color="auto" w:fill="FFFFFF"/>
            <w:vAlign w:val="center"/>
          </w:tcPr>
          <w:p>
            <w:pPr>
              <w:widowControl/>
              <w:jc w:val="center"/>
              <w:rPr>
                <w:rFonts w:ascii="仿宋" w:hAnsi="仿宋" w:eastAsia="仿宋" w:cs="宋体"/>
                <w:b/>
                <w:bCs/>
                <w:color w:val="333333"/>
                <w:kern w:val="0"/>
                <w:sz w:val="22"/>
                <w:szCs w:val="22"/>
              </w:rPr>
            </w:pPr>
            <w:r>
              <w:rPr>
                <w:rFonts w:hint="eastAsia" w:ascii="仿宋" w:hAnsi="仿宋" w:eastAsia="仿宋" w:cs="宋体"/>
                <w:b/>
                <w:bCs/>
                <w:color w:val="333333"/>
                <w:kern w:val="0"/>
                <w:sz w:val="22"/>
                <w:szCs w:val="22"/>
              </w:rPr>
              <w:t>价值（金额单位：万元）</w:t>
            </w:r>
          </w:p>
        </w:tc>
      </w:tr>
      <w:tr>
        <w:tblPrEx>
          <w:tblCellMar>
            <w:top w:w="0" w:type="dxa"/>
            <w:left w:w="108" w:type="dxa"/>
            <w:bottom w:w="0" w:type="dxa"/>
            <w:right w:w="108" w:type="dxa"/>
          </w:tblCellMar>
        </w:tblPrEx>
        <w:trPr>
          <w:trHeight w:val="285" w:hRule="atLeast"/>
        </w:trPr>
        <w:tc>
          <w:tcPr>
            <w:tcW w:w="3137" w:type="dxa"/>
            <w:tcBorders>
              <w:top w:val="nil"/>
              <w:left w:val="single" w:color="auto" w:sz="4" w:space="0"/>
              <w:bottom w:val="single" w:color="auto" w:sz="4" w:space="0"/>
              <w:right w:val="single" w:color="auto" w:sz="4" w:space="0"/>
            </w:tcBorders>
            <w:shd w:val="clear" w:color="auto" w:fill="FFFFFF"/>
            <w:vAlign w:val="center"/>
          </w:tcPr>
          <w:p>
            <w:pPr>
              <w:widowControl/>
              <w:jc w:val="center"/>
              <w:rPr>
                <w:rFonts w:ascii="仿宋" w:hAnsi="仿宋" w:eastAsia="仿宋" w:cs="宋体"/>
                <w:color w:val="333333"/>
                <w:kern w:val="0"/>
                <w:sz w:val="22"/>
                <w:szCs w:val="22"/>
              </w:rPr>
            </w:pPr>
            <w:r>
              <w:rPr>
                <w:rFonts w:hint="eastAsia" w:ascii="仿宋" w:hAnsi="仿宋" w:eastAsia="仿宋" w:cs="宋体"/>
                <w:color w:val="333333"/>
                <w:kern w:val="0"/>
                <w:sz w:val="22"/>
                <w:szCs w:val="22"/>
              </w:rPr>
              <w:t>资产总额</w:t>
            </w:r>
          </w:p>
        </w:tc>
        <w:tc>
          <w:tcPr>
            <w:tcW w:w="2043" w:type="dxa"/>
            <w:tcBorders>
              <w:top w:val="nil"/>
              <w:left w:val="nil"/>
              <w:bottom w:val="single" w:color="auto" w:sz="4" w:space="0"/>
              <w:right w:val="single" w:color="auto" w:sz="4" w:space="0"/>
            </w:tcBorders>
            <w:shd w:val="clear" w:color="auto" w:fill="FFFFFF"/>
            <w:vAlign w:val="center"/>
          </w:tcPr>
          <w:p>
            <w:pPr>
              <w:widowControl/>
              <w:jc w:val="center"/>
              <w:rPr>
                <w:rFonts w:hint="default" w:ascii="仿宋" w:hAnsi="仿宋" w:eastAsia="仿宋" w:cs="仿宋"/>
                <w:color w:val="333333"/>
                <w:kern w:val="0"/>
                <w:sz w:val="22"/>
                <w:szCs w:val="22"/>
                <w:lang w:val="en-US" w:eastAsia="zh-CN"/>
              </w:rPr>
            </w:pPr>
            <w:r>
              <w:rPr>
                <w:rFonts w:hint="eastAsia" w:ascii="仿宋" w:hAnsi="仿宋" w:eastAsia="仿宋" w:cs="仿宋"/>
                <w:color w:val="333333"/>
                <w:kern w:val="0"/>
                <w:sz w:val="22"/>
                <w:szCs w:val="22"/>
                <w:lang w:val="en-US" w:eastAsia="zh-CN"/>
              </w:rPr>
              <w:t>667</w:t>
            </w:r>
          </w:p>
        </w:tc>
        <w:tc>
          <w:tcPr>
            <w:tcW w:w="4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333333"/>
                <w:kern w:val="0"/>
                <w:sz w:val="22"/>
                <w:szCs w:val="22"/>
                <w:lang w:val="en-US" w:eastAsia="zh-CN"/>
              </w:rPr>
            </w:pPr>
            <w:r>
              <w:rPr>
                <w:rFonts w:hint="eastAsia" w:ascii="仿宋" w:hAnsi="仿宋" w:eastAsia="仿宋" w:cs="仿宋"/>
                <w:color w:val="333333"/>
                <w:kern w:val="0"/>
                <w:sz w:val="22"/>
                <w:szCs w:val="22"/>
                <w:lang w:val="en-US" w:eastAsia="zh-CN"/>
              </w:rPr>
              <w:t>558.32</w:t>
            </w:r>
          </w:p>
        </w:tc>
      </w:tr>
      <w:tr>
        <w:tblPrEx>
          <w:tblCellMar>
            <w:top w:w="0" w:type="dxa"/>
            <w:left w:w="108" w:type="dxa"/>
            <w:bottom w:w="0" w:type="dxa"/>
            <w:right w:w="108" w:type="dxa"/>
          </w:tblCellMar>
        </w:tblPrEx>
        <w:trPr>
          <w:trHeight w:val="330" w:hRule="atLeast"/>
        </w:trPr>
        <w:tc>
          <w:tcPr>
            <w:tcW w:w="3137"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color w:val="333333"/>
                <w:kern w:val="0"/>
                <w:sz w:val="22"/>
                <w:szCs w:val="22"/>
              </w:rPr>
            </w:pPr>
            <w:r>
              <w:rPr>
                <w:rFonts w:hint="eastAsia" w:ascii="仿宋" w:hAnsi="仿宋" w:eastAsia="仿宋" w:cs="宋体"/>
                <w:color w:val="333333"/>
                <w:kern w:val="0"/>
                <w:sz w:val="22"/>
                <w:szCs w:val="22"/>
              </w:rPr>
              <w:t>1、房屋（平方米）</w:t>
            </w:r>
          </w:p>
        </w:tc>
        <w:tc>
          <w:tcPr>
            <w:tcW w:w="2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333333"/>
                <w:kern w:val="0"/>
                <w:sz w:val="22"/>
                <w:szCs w:val="22"/>
                <w:lang w:val="en-US" w:eastAsia="zh-CN"/>
              </w:rPr>
            </w:pPr>
            <w:r>
              <w:rPr>
                <w:rFonts w:hint="eastAsia" w:ascii="仿宋" w:hAnsi="仿宋" w:eastAsia="仿宋" w:cs="仿宋"/>
                <w:color w:val="333333"/>
                <w:kern w:val="0"/>
                <w:sz w:val="22"/>
                <w:szCs w:val="22"/>
                <w:lang w:val="en-US" w:eastAsia="zh-CN"/>
              </w:rPr>
              <w:t>0</w:t>
            </w:r>
          </w:p>
        </w:tc>
        <w:tc>
          <w:tcPr>
            <w:tcW w:w="4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333333"/>
                <w:kern w:val="0"/>
                <w:sz w:val="22"/>
                <w:szCs w:val="22"/>
                <w:lang w:val="en-US" w:eastAsia="zh-CN"/>
              </w:rPr>
            </w:pPr>
            <w:r>
              <w:rPr>
                <w:rFonts w:hint="eastAsia" w:ascii="仿宋" w:hAnsi="仿宋" w:eastAsia="仿宋" w:cs="仿宋"/>
                <w:color w:val="333333"/>
                <w:kern w:val="0"/>
                <w:sz w:val="22"/>
                <w:szCs w:val="22"/>
                <w:lang w:val="en-US" w:eastAsia="zh-CN"/>
              </w:rPr>
              <w:t>0</w:t>
            </w:r>
          </w:p>
        </w:tc>
      </w:tr>
      <w:tr>
        <w:tblPrEx>
          <w:tblCellMar>
            <w:top w:w="0" w:type="dxa"/>
            <w:left w:w="108" w:type="dxa"/>
            <w:bottom w:w="0" w:type="dxa"/>
            <w:right w:w="108" w:type="dxa"/>
          </w:tblCellMar>
        </w:tblPrEx>
        <w:trPr>
          <w:trHeight w:val="540" w:hRule="atLeast"/>
        </w:trPr>
        <w:tc>
          <w:tcPr>
            <w:tcW w:w="3137"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color w:val="333333"/>
                <w:kern w:val="0"/>
                <w:sz w:val="22"/>
                <w:szCs w:val="22"/>
              </w:rPr>
            </w:pPr>
            <w:r>
              <w:rPr>
                <w:rFonts w:hint="eastAsia" w:ascii="宋体" w:hAnsi="宋体" w:cs="宋体"/>
                <w:color w:val="333333"/>
                <w:kern w:val="0"/>
                <w:sz w:val="22"/>
                <w:szCs w:val="22"/>
              </w:rPr>
              <w:t>   </w:t>
            </w:r>
            <w:r>
              <w:rPr>
                <w:rFonts w:hint="eastAsia" w:ascii="仿宋" w:hAnsi="仿宋" w:eastAsia="仿宋" w:cs="宋体"/>
                <w:color w:val="333333"/>
                <w:kern w:val="0"/>
                <w:sz w:val="22"/>
                <w:szCs w:val="22"/>
              </w:rPr>
              <w:t>其中：办公用房（平方米）</w:t>
            </w:r>
          </w:p>
        </w:tc>
        <w:tc>
          <w:tcPr>
            <w:tcW w:w="2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333333"/>
                <w:kern w:val="0"/>
                <w:sz w:val="22"/>
                <w:szCs w:val="22"/>
                <w:lang w:val="en-US" w:eastAsia="zh-CN"/>
              </w:rPr>
            </w:pPr>
            <w:r>
              <w:rPr>
                <w:rFonts w:hint="eastAsia" w:ascii="仿宋" w:hAnsi="仿宋" w:eastAsia="仿宋" w:cs="仿宋"/>
                <w:color w:val="333333"/>
                <w:kern w:val="0"/>
                <w:sz w:val="22"/>
                <w:szCs w:val="22"/>
                <w:lang w:val="en-US" w:eastAsia="zh-CN"/>
              </w:rPr>
              <w:t>0</w:t>
            </w:r>
          </w:p>
        </w:tc>
        <w:tc>
          <w:tcPr>
            <w:tcW w:w="4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333333"/>
                <w:kern w:val="0"/>
                <w:sz w:val="22"/>
                <w:szCs w:val="22"/>
                <w:lang w:val="en-US" w:eastAsia="zh-CN"/>
              </w:rPr>
            </w:pPr>
            <w:r>
              <w:rPr>
                <w:rFonts w:hint="eastAsia" w:ascii="仿宋" w:hAnsi="仿宋" w:eastAsia="仿宋" w:cs="仿宋"/>
                <w:color w:val="333333"/>
                <w:kern w:val="0"/>
                <w:sz w:val="22"/>
                <w:szCs w:val="22"/>
                <w:lang w:val="en-US" w:eastAsia="zh-CN"/>
              </w:rPr>
              <w:t>0</w:t>
            </w:r>
          </w:p>
        </w:tc>
      </w:tr>
      <w:tr>
        <w:tblPrEx>
          <w:tblCellMar>
            <w:top w:w="0" w:type="dxa"/>
            <w:left w:w="108" w:type="dxa"/>
            <w:bottom w:w="0" w:type="dxa"/>
            <w:right w:w="108" w:type="dxa"/>
          </w:tblCellMar>
        </w:tblPrEx>
        <w:trPr>
          <w:trHeight w:val="285" w:hRule="atLeast"/>
        </w:trPr>
        <w:tc>
          <w:tcPr>
            <w:tcW w:w="3137"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color w:val="333333"/>
                <w:kern w:val="0"/>
                <w:sz w:val="22"/>
                <w:szCs w:val="22"/>
              </w:rPr>
            </w:pPr>
            <w:r>
              <w:rPr>
                <w:rFonts w:hint="eastAsia" w:ascii="仿宋" w:hAnsi="仿宋" w:eastAsia="仿宋" w:cs="宋体"/>
                <w:color w:val="333333"/>
                <w:kern w:val="0"/>
                <w:sz w:val="22"/>
                <w:szCs w:val="22"/>
              </w:rPr>
              <w:t>2、车辆（台、辆）</w:t>
            </w:r>
          </w:p>
        </w:tc>
        <w:tc>
          <w:tcPr>
            <w:tcW w:w="2043" w:type="dxa"/>
            <w:tcBorders>
              <w:top w:val="nil"/>
              <w:left w:val="nil"/>
              <w:bottom w:val="single" w:color="auto" w:sz="4" w:space="0"/>
              <w:right w:val="single" w:color="auto" w:sz="4" w:space="0"/>
            </w:tcBorders>
            <w:shd w:val="clear" w:color="auto" w:fill="FFFFFF"/>
            <w:vAlign w:val="top"/>
          </w:tcPr>
          <w:p>
            <w:pPr>
              <w:jc w:val="center"/>
              <w:rPr>
                <w:rFonts w:hint="eastAsia" w:ascii="仿宋" w:hAnsi="仿宋" w:eastAsia="仿宋" w:cs="仿宋"/>
                <w:color w:val="333333"/>
                <w:kern w:val="0"/>
                <w:sz w:val="22"/>
                <w:szCs w:val="22"/>
                <w:lang w:eastAsia="zh-CN"/>
              </w:rPr>
            </w:pPr>
            <w:r>
              <w:rPr>
                <w:rFonts w:hint="eastAsia" w:ascii="仿宋" w:hAnsi="仿宋" w:eastAsia="仿宋" w:cs="仿宋"/>
                <w:sz w:val="22"/>
                <w:szCs w:val="22"/>
              </w:rPr>
              <w:t>3</w:t>
            </w:r>
          </w:p>
        </w:tc>
        <w:tc>
          <w:tcPr>
            <w:tcW w:w="4070" w:type="dxa"/>
            <w:tcBorders>
              <w:top w:val="nil"/>
              <w:left w:val="nil"/>
              <w:bottom w:val="single" w:color="auto" w:sz="4" w:space="0"/>
              <w:right w:val="single" w:color="auto" w:sz="4" w:space="0"/>
            </w:tcBorders>
            <w:shd w:val="clear" w:color="auto" w:fill="FFFFFF"/>
            <w:vAlign w:val="top"/>
          </w:tcPr>
          <w:p>
            <w:pPr>
              <w:jc w:val="center"/>
              <w:rPr>
                <w:rFonts w:hint="eastAsia" w:ascii="仿宋" w:hAnsi="仿宋" w:eastAsia="仿宋" w:cs="仿宋"/>
                <w:color w:val="333333"/>
                <w:kern w:val="0"/>
                <w:sz w:val="22"/>
                <w:szCs w:val="22"/>
              </w:rPr>
            </w:pPr>
            <w:r>
              <w:rPr>
                <w:rFonts w:hint="eastAsia" w:ascii="仿宋" w:hAnsi="仿宋" w:eastAsia="仿宋" w:cs="仿宋"/>
                <w:sz w:val="22"/>
                <w:szCs w:val="22"/>
              </w:rPr>
              <w:t>61.27</w:t>
            </w:r>
          </w:p>
        </w:tc>
      </w:tr>
      <w:tr>
        <w:tblPrEx>
          <w:tblCellMar>
            <w:top w:w="0" w:type="dxa"/>
            <w:left w:w="108" w:type="dxa"/>
            <w:bottom w:w="0" w:type="dxa"/>
            <w:right w:w="108" w:type="dxa"/>
          </w:tblCellMar>
        </w:tblPrEx>
        <w:trPr>
          <w:trHeight w:val="540" w:hRule="atLeast"/>
        </w:trPr>
        <w:tc>
          <w:tcPr>
            <w:tcW w:w="3137"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color w:val="333333"/>
                <w:kern w:val="0"/>
                <w:sz w:val="22"/>
                <w:szCs w:val="22"/>
              </w:rPr>
            </w:pPr>
            <w:r>
              <w:rPr>
                <w:rFonts w:hint="eastAsia" w:ascii="仿宋" w:hAnsi="仿宋" w:eastAsia="仿宋" w:cs="宋体"/>
                <w:color w:val="333333"/>
                <w:kern w:val="0"/>
                <w:sz w:val="22"/>
                <w:szCs w:val="22"/>
              </w:rPr>
              <w:t>3、单价在20万元以上的设备</w:t>
            </w:r>
          </w:p>
        </w:tc>
        <w:tc>
          <w:tcPr>
            <w:tcW w:w="2043"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333333"/>
                <w:kern w:val="0"/>
                <w:sz w:val="22"/>
                <w:szCs w:val="22"/>
              </w:rPr>
            </w:pPr>
            <w:r>
              <w:rPr>
                <w:rFonts w:hint="eastAsia" w:ascii="仿宋" w:hAnsi="仿宋" w:eastAsia="仿宋" w:cs="仿宋"/>
                <w:color w:val="333333"/>
                <w:kern w:val="0"/>
                <w:sz w:val="22"/>
                <w:szCs w:val="22"/>
                <w:lang w:val="en-US" w:eastAsia="zh-CN"/>
              </w:rPr>
              <w:t>3</w:t>
            </w:r>
          </w:p>
        </w:tc>
        <w:tc>
          <w:tcPr>
            <w:tcW w:w="4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333333"/>
                <w:kern w:val="0"/>
                <w:sz w:val="22"/>
                <w:szCs w:val="22"/>
              </w:rPr>
            </w:pPr>
            <w:r>
              <w:rPr>
                <w:rFonts w:hint="eastAsia" w:ascii="仿宋" w:hAnsi="仿宋" w:eastAsia="仿宋" w:cs="仿宋"/>
                <w:color w:val="333333"/>
                <w:kern w:val="0"/>
                <w:sz w:val="22"/>
                <w:szCs w:val="22"/>
                <w:lang w:val="en-US" w:eastAsia="zh-CN"/>
              </w:rPr>
              <w:t>304.8</w:t>
            </w:r>
          </w:p>
        </w:tc>
      </w:tr>
      <w:tr>
        <w:tblPrEx>
          <w:tblCellMar>
            <w:top w:w="0" w:type="dxa"/>
            <w:left w:w="108" w:type="dxa"/>
            <w:bottom w:w="0" w:type="dxa"/>
            <w:right w:w="108" w:type="dxa"/>
          </w:tblCellMar>
        </w:tblPrEx>
        <w:trPr>
          <w:trHeight w:val="330" w:hRule="atLeast"/>
        </w:trPr>
        <w:tc>
          <w:tcPr>
            <w:tcW w:w="3137" w:type="dxa"/>
            <w:tcBorders>
              <w:top w:val="nil"/>
              <w:left w:val="single" w:color="auto" w:sz="4" w:space="0"/>
              <w:bottom w:val="single" w:color="auto" w:sz="4" w:space="0"/>
              <w:right w:val="single" w:color="auto" w:sz="4" w:space="0"/>
            </w:tcBorders>
            <w:shd w:val="clear" w:color="auto" w:fill="FFFFFF"/>
            <w:vAlign w:val="center"/>
          </w:tcPr>
          <w:p>
            <w:pPr>
              <w:widowControl/>
              <w:jc w:val="left"/>
              <w:rPr>
                <w:rFonts w:ascii="仿宋" w:hAnsi="仿宋" w:eastAsia="仿宋" w:cs="宋体"/>
                <w:color w:val="333333"/>
                <w:kern w:val="0"/>
                <w:sz w:val="22"/>
                <w:szCs w:val="22"/>
              </w:rPr>
            </w:pPr>
            <w:r>
              <w:rPr>
                <w:rFonts w:hint="eastAsia" w:ascii="仿宋" w:hAnsi="仿宋" w:eastAsia="仿宋" w:cs="宋体"/>
                <w:color w:val="333333"/>
                <w:kern w:val="0"/>
                <w:sz w:val="22"/>
                <w:szCs w:val="22"/>
              </w:rPr>
              <w:t>4、其他固定资产</w:t>
            </w:r>
          </w:p>
        </w:tc>
        <w:tc>
          <w:tcPr>
            <w:tcW w:w="2043" w:type="dxa"/>
            <w:tcBorders>
              <w:top w:val="nil"/>
              <w:left w:val="nil"/>
              <w:bottom w:val="single" w:color="auto" w:sz="4" w:space="0"/>
              <w:right w:val="single" w:color="auto" w:sz="4" w:space="0"/>
            </w:tcBorders>
            <w:shd w:val="clear" w:color="auto" w:fill="FFFFFF"/>
            <w:vAlign w:val="center"/>
          </w:tcPr>
          <w:p>
            <w:pPr>
              <w:widowControl/>
              <w:jc w:val="center"/>
              <w:rPr>
                <w:rFonts w:hint="default" w:ascii="仿宋" w:hAnsi="仿宋" w:eastAsia="仿宋" w:cs="仿宋"/>
                <w:color w:val="333333"/>
                <w:kern w:val="0"/>
                <w:sz w:val="22"/>
                <w:szCs w:val="22"/>
                <w:lang w:val="en-US" w:eastAsia="zh-CN"/>
              </w:rPr>
            </w:pPr>
            <w:r>
              <w:rPr>
                <w:rFonts w:hint="eastAsia" w:ascii="仿宋" w:hAnsi="仿宋" w:eastAsia="仿宋" w:cs="仿宋"/>
                <w:color w:val="333333"/>
                <w:kern w:val="0"/>
                <w:sz w:val="22"/>
                <w:szCs w:val="22"/>
                <w:lang w:val="en-US" w:eastAsia="zh-CN"/>
              </w:rPr>
              <w:t>661</w:t>
            </w:r>
          </w:p>
        </w:tc>
        <w:tc>
          <w:tcPr>
            <w:tcW w:w="4070" w:type="dxa"/>
            <w:tcBorders>
              <w:top w:val="nil"/>
              <w:left w:val="nil"/>
              <w:bottom w:val="single" w:color="auto" w:sz="4" w:space="0"/>
              <w:right w:val="single" w:color="auto" w:sz="4" w:space="0"/>
            </w:tcBorders>
            <w:shd w:val="clear" w:color="auto" w:fill="FFFFFF"/>
            <w:vAlign w:val="center"/>
          </w:tcPr>
          <w:p>
            <w:pPr>
              <w:widowControl/>
              <w:jc w:val="center"/>
              <w:rPr>
                <w:rFonts w:hint="eastAsia" w:ascii="仿宋" w:hAnsi="仿宋" w:eastAsia="仿宋" w:cs="仿宋"/>
                <w:color w:val="333333"/>
                <w:kern w:val="0"/>
                <w:sz w:val="22"/>
                <w:szCs w:val="22"/>
                <w:lang w:val="en-US" w:eastAsia="zh-CN"/>
              </w:rPr>
            </w:pPr>
            <w:r>
              <w:rPr>
                <w:rFonts w:hint="eastAsia" w:ascii="仿宋" w:hAnsi="仿宋" w:eastAsia="仿宋" w:cs="仿宋"/>
                <w:color w:val="333333"/>
                <w:kern w:val="0"/>
                <w:sz w:val="22"/>
                <w:szCs w:val="22"/>
                <w:lang w:val="en-US" w:eastAsia="zh-CN"/>
              </w:rPr>
              <w:t>189.25</w:t>
            </w:r>
          </w:p>
        </w:tc>
      </w:tr>
    </w:tbl>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80" w:lineRule="exact"/>
        <w:jc w:val="left"/>
        <w:textAlignment w:val="auto"/>
        <w:outlineLvl w:val="9"/>
        <w:rPr>
          <w:rFonts w:hint="eastAsia" w:ascii="仿宋_GB2312" w:hAnsi="仿宋" w:eastAsia="仿宋_GB2312"/>
          <w:sz w:val="32"/>
          <w:szCs w:val="32"/>
        </w:rPr>
      </w:pPr>
      <w:r>
        <w:rPr>
          <w:rFonts w:hint="eastAsia" w:ascii="仿宋" w:hAnsi="仿宋" w:eastAsia="仿宋" w:cs="仿宋"/>
          <w:sz w:val="22"/>
          <w:szCs w:val="22"/>
          <w:lang w:eastAsia="zh-CN"/>
        </w:rPr>
        <w:t>编制部门：秦皇岛出口加工区管理委员会　　　　　　　　　　　截止时间：</w:t>
      </w:r>
      <w:r>
        <w:rPr>
          <w:rFonts w:hint="eastAsia" w:ascii="仿宋" w:hAnsi="仿宋" w:eastAsia="仿宋" w:cs="仿宋"/>
          <w:sz w:val="22"/>
          <w:szCs w:val="22"/>
          <w:lang w:val="en-US" w:eastAsia="zh-CN"/>
        </w:rPr>
        <w:t>2019年12月31日</w:t>
      </w:r>
    </w:p>
    <w:p>
      <w:pPr>
        <w:ind w:firstLine="643" w:firstLineChars="200"/>
        <w:jc w:val="center"/>
        <w:rPr>
          <w:rFonts w:hint="eastAsia" w:ascii="仿宋_GB2312" w:hAnsi="仿宋" w:eastAsia="仿宋_GB2312"/>
          <w:b/>
          <w:sz w:val="32"/>
          <w:szCs w:val="32"/>
        </w:rPr>
      </w:pPr>
    </w:p>
    <w:p>
      <w:pPr>
        <w:rPr>
          <w:rFonts w:hint="eastAsia" w:eastAsia="黑体"/>
          <w:sz w:val="32"/>
          <w:szCs w:val="32"/>
        </w:rPr>
      </w:pPr>
    </w:p>
    <w:p>
      <w:pPr>
        <w:rPr>
          <w:rFonts w:hint="eastAsia" w:eastAsia="黑体"/>
          <w:sz w:val="32"/>
          <w:szCs w:val="32"/>
        </w:rPr>
      </w:pPr>
    </w:p>
    <w:p>
      <w:pPr>
        <w:rPr>
          <w:rFonts w:hAnsi="黑体" w:eastAsia="黑体"/>
          <w:spacing w:val="-16"/>
          <w:kern w:val="0"/>
          <w:sz w:val="32"/>
          <w:szCs w:val="32"/>
        </w:rPr>
      </w:pPr>
      <w:r>
        <w:rPr>
          <w:rFonts w:hint="eastAsia" w:eastAsia="黑体"/>
          <w:sz w:val="32"/>
          <w:szCs w:val="32"/>
        </w:rPr>
        <w:t>七</w:t>
      </w:r>
      <w:r>
        <w:rPr>
          <w:rFonts w:eastAsia="黑体"/>
          <w:sz w:val="32"/>
          <w:szCs w:val="32"/>
        </w:rPr>
        <w:t>、</w:t>
      </w:r>
      <w:r>
        <w:rPr>
          <w:rFonts w:hint="eastAsia" w:eastAsia="黑体"/>
          <w:sz w:val="32"/>
          <w:szCs w:val="32"/>
        </w:rPr>
        <w:t>名词解释</w:t>
      </w:r>
    </w:p>
    <w:p>
      <w:pPr>
        <w:ind w:firstLine="643" w:firstLineChars="200"/>
        <w:rPr>
          <w:rFonts w:eastAsia="仿宋_GB2312"/>
          <w:sz w:val="32"/>
          <w:szCs w:val="32"/>
        </w:rPr>
      </w:pPr>
      <w:r>
        <w:rPr>
          <w:rFonts w:hint="eastAsia" w:eastAsia="仿宋_GB2312"/>
          <w:b/>
          <w:sz w:val="32"/>
          <w:szCs w:val="32"/>
        </w:rPr>
        <w:t>1、</w:t>
      </w:r>
      <w:r>
        <w:rPr>
          <w:rFonts w:hint="eastAsia" w:eastAsia="仿宋_GB2312"/>
          <w:b/>
          <w:bCs/>
          <w:sz w:val="32"/>
          <w:szCs w:val="32"/>
        </w:rPr>
        <w:t>财政拨款收入</w:t>
      </w:r>
      <w:r>
        <w:rPr>
          <w:rFonts w:hint="eastAsia" w:eastAsia="仿宋_GB2312"/>
          <w:b/>
          <w:sz w:val="32"/>
          <w:szCs w:val="32"/>
        </w:rPr>
        <w:t>：</w:t>
      </w:r>
      <w:r>
        <w:rPr>
          <w:rFonts w:hint="eastAsia" w:eastAsia="仿宋_GB2312"/>
          <w:sz w:val="32"/>
          <w:szCs w:val="32"/>
        </w:rPr>
        <w:t>指区财政当年拨付的资金。</w:t>
      </w:r>
      <w:r>
        <w:rPr>
          <w:rFonts w:eastAsia="仿宋_GB2312"/>
          <w:sz w:val="32"/>
          <w:szCs w:val="32"/>
        </w:rPr>
        <w:t xml:space="preserve"> </w:t>
      </w:r>
    </w:p>
    <w:p>
      <w:pPr>
        <w:ind w:firstLine="643" w:firstLineChars="200"/>
        <w:rPr>
          <w:rFonts w:eastAsia="仿宋_GB2312"/>
          <w:sz w:val="32"/>
          <w:szCs w:val="32"/>
        </w:rPr>
      </w:pPr>
      <w:r>
        <w:rPr>
          <w:rFonts w:hint="eastAsia" w:eastAsia="仿宋_GB2312"/>
          <w:b/>
          <w:sz w:val="32"/>
          <w:szCs w:val="32"/>
        </w:rPr>
        <w:t>2、</w:t>
      </w:r>
      <w:r>
        <w:rPr>
          <w:rFonts w:hint="eastAsia" w:eastAsia="仿宋_GB2312"/>
          <w:b/>
          <w:bCs/>
          <w:sz w:val="32"/>
          <w:szCs w:val="32"/>
        </w:rPr>
        <w:t>一般公共服务（类）政府办公厅（室）及相关机构事务（款）</w:t>
      </w:r>
      <w:r>
        <w:rPr>
          <w:rFonts w:hint="eastAsia" w:eastAsia="仿宋_GB2312"/>
          <w:b/>
          <w:sz w:val="32"/>
          <w:szCs w:val="32"/>
        </w:rPr>
        <w:t>：</w:t>
      </w:r>
      <w:r>
        <w:rPr>
          <w:rFonts w:hint="eastAsia" w:eastAsia="仿宋_GB2312"/>
          <w:sz w:val="32"/>
          <w:szCs w:val="32"/>
        </w:rPr>
        <w:t>指出口加工区管委履行一般公共服务职能的支出。</w:t>
      </w:r>
      <w:r>
        <w:rPr>
          <w:rFonts w:eastAsia="仿宋_GB2312"/>
          <w:sz w:val="32"/>
          <w:szCs w:val="32"/>
        </w:rPr>
        <w:t xml:space="preserve"> </w:t>
      </w:r>
    </w:p>
    <w:p>
      <w:pPr>
        <w:ind w:firstLine="643" w:firstLineChars="200"/>
        <w:rPr>
          <w:rFonts w:eastAsia="仿宋_GB2312"/>
          <w:sz w:val="32"/>
          <w:szCs w:val="32"/>
        </w:rPr>
      </w:pPr>
      <w:r>
        <w:rPr>
          <w:rFonts w:eastAsia="仿宋_GB2312"/>
          <w:b/>
          <w:sz w:val="32"/>
          <w:szCs w:val="32"/>
        </w:rPr>
        <w:t>3</w:t>
      </w:r>
      <w:r>
        <w:rPr>
          <w:rFonts w:hint="eastAsia" w:eastAsia="仿宋_GB2312"/>
          <w:b/>
          <w:sz w:val="32"/>
          <w:szCs w:val="32"/>
        </w:rPr>
        <w:t>、</w:t>
      </w:r>
      <w:r>
        <w:rPr>
          <w:rFonts w:hint="eastAsia" w:eastAsia="仿宋_GB2312"/>
          <w:b/>
          <w:bCs/>
          <w:sz w:val="32"/>
          <w:szCs w:val="32"/>
        </w:rPr>
        <w:t>一般公共服务（类）商贸事务（款）招商引资（项）</w:t>
      </w:r>
      <w:r>
        <w:rPr>
          <w:rFonts w:hint="eastAsia" w:eastAsia="仿宋_GB2312"/>
          <w:b/>
          <w:sz w:val="32"/>
          <w:szCs w:val="32"/>
        </w:rPr>
        <w:t>：</w:t>
      </w:r>
      <w:r>
        <w:rPr>
          <w:rFonts w:hint="eastAsia" w:eastAsia="仿宋_GB2312"/>
          <w:sz w:val="32"/>
          <w:szCs w:val="32"/>
        </w:rPr>
        <w:t>指用于履行招商引资职能的支出。</w:t>
      </w:r>
      <w:r>
        <w:rPr>
          <w:rFonts w:eastAsia="仿宋_GB2312"/>
          <w:sz w:val="32"/>
          <w:szCs w:val="32"/>
        </w:rPr>
        <w:t xml:space="preserve"> </w:t>
      </w:r>
    </w:p>
    <w:p>
      <w:pPr>
        <w:ind w:firstLine="643" w:firstLineChars="200"/>
        <w:rPr>
          <w:rFonts w:ascii="仿宋_GB2312" w:eastAsia="仿宋_GB2312"/>
          <w:sz w:val="32"/>
          <w:szCs w:val="32"/>
        </w:rPr>
      </w:pPr>
      <w:r>
        <w:rPr>
          <w:rFonts w:hint="eastAsia" w:ascii="仿宋_GB2312" w:eastAsia="仿宋_GB2312"/>
          <w:b/>
          <w:sz w:val="32"/>
          <w:szCs w:val="32"/>
        </w:rPr>
        <w:t>4、社会</w:t>
      </w:r>
      <w:r>
        <w:rPr>
          <w:rFonts w:ascii="仿宋_GB2312" w:eastAsia="仿宋_GB2312"/>
          <w:b/>
          <w:sz w:val="32"/>
          <w:szCs w:val="32"/>
        </w:rPr>
        <w:t>保障和就业支出（</w:t>
      </w:r>
      <w:r>
        <w:rPr>
          <w:rFonts w:hint="eastAsia" w:ascii="仿宋_GB2312" w:eastAsia="仿宋_GB2312"/>
          <w:b/>
          <w:sz w:val="32"/>
          <w:szCs w:val="32"/>
        </w:rPr>
        <w:t>类</w:t>
      </w:r>
      <w:r>
        <w:rPr>
          <w:rFonts w:ascii="仿宋_GB2312" w:eastAsia="仿宋_GB2312"/>
          <w:b/>
          <w:sz w:val="32"/>
          <w:szCs w:val="32"/>
        </w:rPr>
        <w:t>）</w:t>
      </w:r>
      <w:r>
        <w:rPr>
          <w:rFonts w:hint="eastAsia" w:ascii="仿宋_GB2312" w:eastAsia="仿宋_GB2312"/>
          <w:b/>
          <w:sz w:val="32"/>
          <w:szCs w:val="32"/>
        </w:rPr>
        <w:t>就</w:t>
      </w:r>
      <w:r>
        <w:rPr>
          <w:rFonts w:ascii="仿宋_GB2312" w:eastAsia="仿宋_GB2312"/>
          <w:b/>
          <w:sz w:val="32"/>
          <w:szCs w:val="32"/>
        </w:rPr>
        <w:t>业补助（</w:t>
      </w:r>
      <w:r>
        <w:rPr>
          <w:rFonts w:hint="eastAsia" w:ascii="仿宋_GB2312" w:eastAsia="仿宋_GB2312"/>
          <w:b/>
          <w:sz w:val="32"/>
          <w:szCs w:val="32"/>
        </w:rPr>
        <w:t>款</w:t>
      </w:r>
      <w:r>
        <w:rPr>
          <w:rFonts w:ascii="仿宋_GB2312" w:eastAsia="仿宋_GB2312"/>
          <w:b/>
          <w:sz w:val="32"/>
          <w:szCs w:val="32"/>
        </w:rPr>
        <w:t>）</w:t>
      </w:r>
      <w:r>
        <w:rPr>
          <w:rFonts w:hint="eastAsia" w:ascii="仿宋_GB2312" w:eastAsia="仿宋_GB2312"/>
          <w:b/>
          <w:sz w:val="32"/>
          <w:szCs w:val="32"/>
        </w:rPr>
        <w:t>就</w:t>
      </w:r>
      <w:r>
        <w:rPr>
          <w:rFonts w:ascii="仿宋_GB2312" w:eastAsia="仿宋_GB2312"/>
          <w:b/>
          <w:sz w:val="32"/>
          <w:szCs w:val="32"/>
        </w:rPr>
        <w:t>业</w:t>
      </w:r>
      <w:r>
        <w:rPr>
          <w:rFonts w:hint="eastAsia" w:ascii="仿宋_GB2312" w:eastAsia="仿宋_GB2312"/>
          <w:b/>
          <w:sz w:val="32"/>
          <w:szCs w:val="32"/>
        </w:rPr>
        <w:t>见</w:t>
      </w:r>
      <w:r>
        <w:rPr>
          <w:rFonts w:ascii="仿宋_GB2312" w:eastAsia="仿宋_GB2312"/>
          <w:b/>
          <w:sz w:val="32"/>
          <w:szCs w:val="32"/>
        </w:rPr>
        <w:t>习补贴（</w:t>
      </w:r>
      <w:r>
        <w:rPr>
          <w:rFonts w:hint="eastAsia" w:ascii="仿宋_GB2312" w:eastAsia="仿宋_GB2312"/>
          <w:b/>
          <w:sz w:val="32"/>
          <w:szCs w:val="32"/>
        </w:rPr>
        <w:t>项</w:t>
      </w:r>
      <w:r>
        <w:rPr>
          <w:rFonts w:ascii="仿宋_GB2312" w:eastAsia="仿宋_GB2312"/>
          <w:b/>
          <w:sz w:val="32"/>
          <w:szCs w:val="32"/>
        </w:rPr>
        <w:t>）</w:t>
      </w:r>
      <w:r>
        <w:rPr>
          <w:rFonts w:hint="eastAsia" w:ascii="仿宋_GB2312" w:eastAsia="仿宋_GB2312"/>
          <w:b/>
          <w:sz w:val="32"/>
          <w:szCs w:val="32"/>
        </w:rPr>
        <w:t>：</w:t>
      </w:r>
      <w:r>
        <w:rPr>
          <w:rFonts w:ascii="仿宋_GB2312" w:eastAsia="仿宋_GB2312"/>
          <w:sz w:val="32"/>
          <w:szCs w:val="32"/>
        </w:rPr>
        <w:t>指财政对高校毕业生就业见习基本生活费给予的</w:t>
      </w:r>
      <w:r>
        <w:rPr>
          <w:rFonts w:hint="eastAsia" w:ascii="仿宋_GB2312" w:eastAsia="仿宋_GB2312"/>
          <w:sz w:val="32"/>
          <w:szCs w:val="32"/>
        </w:rPr>
        <w:t>补</w:t>
      </w:r>
      <w:r>
        <w:rPr>
          <w:rFonts w:ascii="仿宋_GB2312" w:eastAsia="仿宋_GB2312"/>
          <w:sz w:val="32"/>
          <w:szCs w:val="32"/>
        </w:rPr>
        <w:t>贴。</w:t>
      </w:r>
    </w:p>
    <w:p>
      <w:pPr>
        <w:ind w:firstLine="643" w:firstLineChars="200"/>
        <w:rPr>
          <w:rFonts w:eastAsia="仿宋_GB2312"/>
          <w:sz w:val="32"/>
          <w:szCs w:val="32"/>
        </w:rPr>
      </w:pPr>
      <w:r>
        <w:rPr>
          <w:rFonts w:eastAsia="仿宋_GB2312"/>
          <w:b/>
          <w:sz w:val="32"/>
          <w:szCs w:val="32"/>
        </w:rPr>
        <w:t>5</w:t>
      </w:r>
      <w:r>
        <w:rPr>
          <w:rFonts w:hint="eastAsia" w:eastAsia="仿宋_GB2312"/>
          <w:b/>
          <w:sz w:val="32"/>
          <w:szCs w:val="32"/>
        </w:rPr>
        <w:t>、</w:t>
      </w:r>
      <w:r>
        <w:rPr>
          <w:rFonts w:hint="eastAsia" w:eastAsia="仿宋_GB2312"/>
          <w:b/>
          <w:bCs/>
          <w:sz w:val="32"/>
          <w:szCs w:val="32"/>
        </w:rPr>
        <w:t>社会保障和就业（类）行政事业单位离退休（款）</w:t>
      </w:r>
      <w:r>
        <w:rPr>
          <w:rFonts w:hint="eastAsia" w:eastAsia="仿宋_GB2312"/>
          <w:b/>
          <w:sz w:val="32"/>
          <w:szCs w:val="32"/>
        </w:rPr>
        <w:t>：</w:t>
      </w:r>
      <w:r>
        <w:rPr>
          <w:rFonts w:hint="eastAsia" w:eastAsia="仿宋_GB2312"/>
          <w:sz w:val="32"/>
          <w:szCs w:val="32"/>
        </w:rPr>
        <w:t>指人力资源社会保障系统用于机关及所属事业单位离退休人员的经费支出。</w:t>
      </w:r>
      <w:r>
        <w:rPr>
          <w:rFonts w:eastAsia="仿宋_GB2312"/>
          <w:sz w:val="32"/>
          <w:szCs w:val="32"/>
        </w:rPr>
        <w:t xml:space="preserve"> </w:t>
      </w:r>
    </w:p>
    <w:p>
      <w:pPr>
        <w:ind w:firstLine="643" w:firstLineChars="200"/>
        <w:rPr>
          <w:rFonts w:eastAsia="仿宋_GB2312"/>
          <w:sz w:val="32"/>
          <w:szCs w:val="32"/>
        </w:rPr>
      </w:pPr>
      <w:r>
        <w:rPr>
          <w:rFonts w:hint="eastAsia" w:eastAsia="仿宋_GB2312"/>
          <w:b/>
          <w:sz w:val="32"/>
          <w:szCs w:val="32"/>
        </w:rPr>
        <w:t>（１）</w:t>
      </w:r>
      <w:r>
        <w:rPr>
          <w:rFonts w:hint="eastAsia" w:eastAsia="仿宋_GB2312"/>
          <w:b/>
          <w:bCs/>
          <w:sz w:val="32"/>
          <w:szCs w:val="32"/>
        </w:rPr>
        <w:t>行政单位离退休（项）</w:t>
      </w:r>
      <w:r>
        <w:rPr>
          <w:rFonts w:hint="eastAsia" w:eastAsia="仿宋_GB2312"/>
          <w:b/>
          <w:sz w:val="32"/>
          <w:szCs w:val="32"/>
        </w:rPr>
        <w:t>：</w:t>
      </w:r>
      <w:r>
        <w:rPr>
          <w:rFonts w:hint="eastAsia" w:eastAsia="仿宋_GB2312"/>
          <w:sz w:val="32"/>
          <w:szCs w:val="32"/>
        </w:rPr>
        <w:t>指用于实行归口管理的行政单位与实行公务员管理事业单位开支的离退休经费支出。</w:t>
      </w:r>
      <w:r>
        <w:rPr>
          <w:rFonts w:eastAsia="仿宋_GB2312"/>
          <w:sz w:val="32"/>
          <w:szCs w:val="32"/>
        </w:rPr>
        <w:t xml:space="preserve"> </w:t>
      </w:r>
    </w:p>
    <w:p>
      <w:pPr>
        <w:ind w:firstLine="643" w:firstLineChars="200"/>
        <w:rPr>
          <w:rFonts w:eastAsia="仿宋_GB2312"/>
          <w:sz w:val="32"/>
          <w:szCs w:val="32"/>
        </w:rPr>
      </w:pPr>
      <w:r>
        <w:rPr>
          <w:rFonts w:hint="eastAsia" w:eastAsia="仿宋_GB2312"/>
          <w:b/>
          <w:sz w:val="32"/>
          <w:szCs w:val="32"/>
        </w:rPr>
        <w:t>（２</w:t>
      </w:r>
      <w:r>
        <w:rPr>
          <w:rFonts w:hint="eastAsia" w:eastAsia="仿宋_GB2312"/>
          <w:b/>
          <w:bCs/>
          <w:sz w:val="32"/>
          <w:szCs w:val="32"/>
        </w:rPr>
        <w:t>）事业单位离退休（项）</w:t>
      </w:r>
      <w:r>
        <w:rPr>
          <w:rFonts w:hint="eastAsia" w:eastAsia="仿宋_GB2312"/>
          <w:b/>
          <w:sz w:val="32"/>
          <w:szCs w:val="32"/>
        </w:rPr>
        <w:t>：</w:t>
      </w:r>
      <w:r>
        <w:rPr>
          <w:rFonts w:hint="eastAsia" w:eastAsia="仿宋_GB2312"/>
          <w:sz w:val="32"/>
          <w:szCs w:val="32"/>
        </w:rPr>
        <w:t>指用于实行归口管理的事业单位离退休经费支出。</w:t>
      </w:r>
      <w:r>
        <w:rPr>
          <w:rFonts w:eastAsia="仿宋_GB2312"/>
          <w:sz w:val="32"/>
          <w:szCs w:val="32"/>
        </w:rPr>
        <w:t xml:space="preserve"> </w:t>
      </w:r>
    </w:p>
    <w:p>
      <w:pPr>
        <w:ind w:firstLine="643" w:firstLineChars="200"/>
        <w:rPr>
          <w:rFonts w:eastAsia="仿宋_GB2312"/>
          <w:sz w:val="32"/>
          <w:szCs w:val="32"/>
        </w:rPr>
      </w:pPr>
      <w:r>
        <w:rPr>
          <w:rFonts w:hint="eastAsia" w:eastAsia="仿宋_GB2312"/>
          <w:b/>
          <w:sz w:val="32"/>
          <w:szCs w:val="32"/>
        </w:rPr>
        <w:t>（３）</w:t>
      </w:r>
      <w:r>
        <w:rPr>
          <w:rFonts w:hint="eastAsia" w:eastAsia="仿宋_GB2312"/>
          <w:b/>
          <w:bCs/>
          <w:sz w:val="32"/>
          <w:szCs w:val="32"/>
        </w:rPr>
        <w:t>机关事业单位基本养老保险缴费支出（项）</w:t>
      </w:r>
      <w:r>
        <w:rPr>
          <w:rFonts w:hint="eastAsia" w:eastAsia="仿宋_GB2312"/>
          <w:b/>
          <w:sz w:val="32"/>
          <w:szCs w:val="32"/>
        </w:rPr>
        <w:t>：</w:t>
      </w:r>
      <w:r>
        <w:rPr>
          <w:rFonts w:hint="eastAsia" w:eastAsia="仿宋_GB2312"/>
          <w:sz w:val="32"/>
          <w:szCs w:val="32"/>
        </w:rPr>
        <w:t>指用于机关事业单位由单位缴纳的基本养老保险费支出。</w:t>
      </w:r>
      <w:r>
        <w:rPr>
          <w:rFonts w:eastAsia="仿宋_GB2312"/>
          <w:sz w:val="32"/>
          <w:szCs w:val="32"/>
        </w:rPr>
        <w:t xml:space="preserve"> </w:t>
      </w:r>
    </w:p>
    <w:p>
      <w:pPr>
        <w:ind w:firstLine="643" w:firstLineChars="200"/>
        <w:rPr>
          <w:rFonts w:eastAsia="仿宋_GB2312"/>
          <w:sz w:val="32"/>
          <w:szCs w:val="32"/>
        </w:rPr>
      </w:pPr>
      <w:r>
        <w:rPr>
          <w:rFonts w:eastAsia="仿宋_GB2312"/>
          <w:b/>
          <w:sz w:val="32"/>
          <w:szCs w:val="32"/>
        </w:rPr>
        <w:t>6</w:t>
      </w:r>
      <w:r>
        <w:rPr>
          <w:rFonts w:hint="eastAsia" w:eastAsia="仿宋_GB2312"/>
          <w:b/>
          <w:sz w:val="32"/>
          <w:szCs w:val="32"/>
        </w:rPr>
        <w:t>、</w:t>
      </w:r>
      <w:r>
        <w:rPr>
          <w:rFonts w:hint="eastAsia" w:eastAsia="仿宋_GB2312"/>
          <w:b/>
          <w:bCs/>
          <w:sz w:val="32"/>
          <w:szCs w:val="32"/>
        </w:rPr>
        <w:t>医疗卫生与计划生育支出（类）行政事业单位医疗（款）</w:t>
      </w:r>
      <w:r>
        <w:rPr>
          <w:rFonts w:hint="eastAsia" w:eastAsia="仿宋_GB2312"/>
          <w:b/>
          <w:sz w:val="32"/>
          <w:szCs w:val="32"/>
        </w:rPr>
        <w:t>：</w:t>
      </w:r>
      <w:r>
        <w:rPr>
          <w:rFonts w:hint="eastAsia" w:eastAsia="仿宋_GB2312"/>
          <w:sz w:val="32"/>
          <w:szCs w:val="32"/>
        </w:rPr>
        <w:t>指人力资源和社会保障系统用于行政事业单位医疗方面的支出。</w:t>
      </w:r>
      <w:r>
        <w:rPr>
          <w:rFonts w:eastAsia="仿宋_GB2312"/>
          <w:sz w:val="32"/>
          <w:szCs w:val="32"/>
        </w:rPr>
        <w:t xml:space="preserve"> </w:t>
      </w:r>
    </w:p>
    <w:p>
      <w:pPr>
        <w:ind w:firstLine="643" w:firstLineChars="200"/>
        <w:rPr>
          <w:rFonts w:eastAsia="仿宋_GB2312"/>
          <w:sz w:val="32"/>
          <w:szCs w:val="32"/>
        </w:rPr>
      </w:pPr>
      <w:r>
        <w:rPr>
          <w:rFonts w:hint="eastAsia" w:eastAsia="仿宋_GB2312"/>
          <w:b/>
          <w:sz w:val="32"/>
          <w:szCs w:val="32"/>
        </w:rPr>
        <w:t>（１）</w:t>
      </w:r>
      <w:r>
        <w:rPr>
          <w:rFonts w:hint="eastAsia" w:eastAsia="仿宋_GB2312"/>
          <w:b/>
          <w:bCs/>
          <w:sz w:val="32"/>
          <w:szCs w:val="32"/>
        </w:rPr>
        <w:t>行政单位医疗（项）</w:t>
      </w:r>
      <w:r>
        <w:rPr>
          <w:rFonts w:hint="eastAsia" w:eastAsia="仿宋_GB2312"/>
          <w:b/>
          <w:sz w:val="32"/>
          <w:szCs w:val="32"/>
        </w:rPr>
        <w:t>：</w:t>
      </w:r>
      <w:r>
        <w:rPr>
          <w:rFonts w:hint="eastAsia" w:eastAsia="仿宋_GB2312"/>
          <w:sz w:val="32"/>
          <w:szCs w:val="32"/>
        </w:rPr>
        <w:t>指财政部门集中安排的行政单位基本医疗保险缴费经费。</w:t>
      </w:r>
      <w:r>
        <w:rPr>
          <w:rFonts w:eastAsia="仿宋_GB2312"/>
          <w:sz w:val="32"/>
          <w:szCs w:val="32"/>
        </w:rPr>
        <w:t xml:space="preserve"> </w:t>
      </w:r>
    </w:p>
    <w:p>
      <w:pPr>
        <w:ind w:firstLine="643" w:firstLineChars="200"/>
        <w:rPr>
          <w:rFonts w:eastAsia="仿宋_GB2312"/>
          <w:sz w:val="32"/>
          <w:szCs w:val="32"/>
        </w:rPr>
      </w:pPr>
      <w:r>
        <w:rPr>
          <w:rFonts w:eastAsia="仿宋_GB2312"/>
          <w:b/>
          <w:sz w:val="32"/>
          <w:szCs w:val="32"/>
        </w:rPr>
        <w:t>7</w:t>
      </w:r>
      <w:r>
        <w:rPr>
          <w:rFonts w:hint="eastAsia" w:eastAsia="仿宋_GB2312"/>
          <w:b/>
          <w:sz w:val="32"/>
          <w:szCs w:val="32"/>
        </w:rPr>
        <w:t>、</w:t>
      </w:r>
      <w:r>
        <w:rPr>
          <w:rFonts w:hint="eastAsia" w:eastAsia="仿宋_GB2312"/>
          <w:b/>
          <w:bCs/>
          <w:sz w:val="32"/>
          <w:szCs w:val="32"/>
        </w:rPr>
        <w:t>住房保障支出（类）住房改革支出（款）住房公积金（项）</w:t>
      </w:r>
      <w:r>
        <w:rPr>
          <w:rFonts w:hint="eastAsia" w:eastAsia="仿宋_GB2312"/>
          <w:b/>
          <w:sz w:val="32"/>
          <w:szCs w:val="32"/>
        </w:rPr>
        <w:t>：</w:t>
      </w:r>
      <w:r>
        <w:rPr>
          <w:rFonts w:hint="eastAsia" w:eastAsia="仿宋_GB2312"/>
          <w:sz w:val="32"/>
          <w:szCs w:val="32"/>
        </w:rPr>
        <w:t>指按照</w:t>
      </w:r>
      <w:r>
        <w:rPr>
          <w:rFonts w:eastAsia="仿宋_GB2312"/>
          <w:sz w:val="32"/>
          <w:szCs w:val="32"/>
        </w:rPr>
        <w:t>《</w:t>
      </w:r>
      <w:r>
        <w:rPr>
          <w:rFonts w:hint="eastAsia" w:eastAsia="仿宋_GB2312"/>
          <w:sz w:val="32"/>
          <w:szCs w:val="32"/>
        </w:rPr>
        <w:t>住房公积金管理条例</w:t>
      </w:r>
      <w:r>
        <w:rPr>
          <w:rFonts w:eastAsia="仿宋_GB2312"/>
          <w:sz w:val="32"/>
          <w:szCs w:val="32"/>
        </w:rPr>
        <w:t>》</w:t>
      </w:r>
      <w:r>
        <w:rPr>
          <w:rFonts w:hint="eastAsia" w:eastAsia="仿宋_GB2312"/>
          <w:sz w:val="32"/>
          <w:szCs w:val="32"/>
        </w:rPr>
        <w:t>的规定，由单位及其在职职工缴存的公积金。</w:t>
      </w:r>
      <w:r>
        <w:rPr>
          <w:rFonts w:eastAsia="仿宋_GB2312"/>
          <w:sz w:val="32"/>
          <w:szCs w:val="32"/>
        </w:rPr>
        <w:t xml:space="preserve"> </w:t>
      </w:r>
    </w:p>
    <w:p>
      <w:pPr>
        <w:ind w:firstLine="643" w:firstLineChars="200"/>
        <w:rPr>
          <w:rFonts w:eastAsia="仿宋_GB2312"/>
          <w:b/>
          <w:sz w:val="32"/>
          <w:szCs w:val="32"/>
        </w:rPr>
      </w:pPr>
      <w:r>
        <w:rPr>
          <w:rFonts w:eastAsia="仿宋_GB2312"/>
          <w:b/>
          <w:sz w:val="32"/>
          <w:szCs w:val="32"/>
        </w:rPr>
        <w:t>8</w:t>
      </w:r>
      <w:r>
        <w:rPr>
          <w:rFonts w:hint="eastAsia" w:eastAsia="仿宋_GB2312"/>
          <w:b/>
          <w:sz w:val="32"/>
          <w:szCs w:val="32"/>
        </w:rPr>
        <w:t>、</w:t>
      </w:r>
      <w:r>
        <w:rPr>
          <w:rFonts w:hint="eastAsia" w:eastAsia="仿宋_GB2312"/>
          <w:b/>
          <w:bCs/>
          <w:sz w:val="32"/>
          <w:szCs w:val="32"/>
        </w:rPr>
        <w:t>基本支出：</w:t>
      </w:r>
      <w:r>
        <w:rPr>
          <w:rFonts w:hint="eastAsia" w:eastAsia="仿宋_GB2312"/>
          <w:sz w:val="32"/>
          <w:szCs w:val="32"/>
        </w:rPr>
        <w:t>指为保障机构正常运转、完成日常工作任务而发生的人员支出和公用支出。</w:t>
      </w:r>
      <w:r>
        <w:rPr>
          <w:rFonts w:eastAsia="仿宋_GB2312"/>
          <w:b/>
          <w:sz w:val="32"/>
          <w:szCs w:val="32"/>
        </w:rPr>
        <w:t xml:space="preserve"> </w:t>
      </w:r>
    </w:p>
    <w:p>
      <w:pPr>
        <w:ind w:firstLine="643" w:firstLineChars="200"/>
        <w:rPr>
          <w:rFonts w:eastAsia="仿宋_GB2312"/>
          <w:b/>
          <w:sz w:val="32"/>
          <w:szCs w:val="32"/>
        </w:rPr>
      </w:pPr>
      <w:r>
        <w:rPr>
          <w:rFonts w:eastAsia="仿宋_GB2312"/>
          <w:b/>
          <w:sz w:val="32"/>
          <w:szCs w:val="32"/>
        </w:rPr>
        <w:t>9</w:t>
      </w:r>
      <w:r>
        <w:rPr>
          <w:rFonts w:hint="eastAsia" w:eastAsia="仿宋_GB2312"/>
          <w:b/>
          <w:sz w:val="32"/>
          <w:szCs w:val="32"/>
        </w:rPr>
        <w:t>、</w:t>
      </w:r>
      <w:r>
        <w:rPr>
          <w:rFonts w:hint="eastAsia" w:eastAsia="仿宋_GB2312"/>
          <w:b/>
          <w:bCs/>
          <w:sz w:val="32"/>
          <w:szCs w:val="32"/>
        </w:rPr>
        <w:t>项目支出</w:t>
      </w:r>
      <w:r>
        <w:rPr>
          <w:rFonts w:hint="eastAsia" w:eastAsia="仿宋_GB2312"/>
          <w:b/>
          <w:sz w:val="32"/>
          <w:szCs w:val="32"/>
        </w:rPr>
        <w:t>：</w:t>
      </w:r>
      <w:r>
        <w:rPr>
          <w:rFonts w:hint="eastAsia" w:eastAsia="仿宋_GB2312"/>
          <w:sz w:val="32"/>
          <w:szCs w:val="32"/>
        </w:rPr>
        <w:t>指在基本支出之外为完成相关行政任务和事业发展目标所发生的支出。</w:t>
      </w:r>
      <w:r>
        <w:rPr>
          <w:rFonts w:eastAsia="仿宋_GB2312"/>
          <w:b/>
          <w:sz w:val="32"/>
          <w:szCs w:val="32"/>
        </w:rPr>
        <w:t xml:space="preserve"> </w:t>
      </w:r>
    </w:p>
    <w:p>
      <w:pPr>
        <w:ind w:firstLine="643" w:firstLineChars="200"/>
        <w:rPr>
          <w:rFonts w:eastAsia="仿宋_GB2312"/>
          <w:sz w:val="32"/>
          <w:szCs w:val="32"/>
        </w:rPr>
      </w:pPr>
      <w:r>
        <w:rPr>
          <w:rFonts w:eastAsia="仿宋_GB2312"/>
          <w:b/>
          <w:sz w:val="32"/>
          <w:szCs w:val="32"/>
        </w:rPr>
        <w:t>10</w:t>
      </w:r>
      <w:r>
        <w:rPr>
          <w:rFonts w:hint="eastAsia" w:eastAsia="仿宋_GB2312"/>
          <w:b/>
          <w:sz w:val="32"/>
          <w:szCs w:val="32"/>
        </w:rPr>
        <w:t>、</w:t>
      </w:r>
      <w:r>
        <w:rPr>
          <w:rFonts w:eastAsia="仿宋_GB2312"/>
          <w:b/>
          <w:bCs/>
          <w:sz w:val="32"/>
          <w:szCs w:val="32"/>
        </w:rPr>
        <w:t>“</w:t>
      </w:r>
      <w:r>
        <w:rPr>
          <w:rFonts w:hint="eastAsia" w:eastAsia="仿宋_GB2312"/>
          <w:b/>
          <w:bCs/>
          <w:sz w:val="32"/>
          <w:szCs w:val="32"/>
        </w:rPr>
        <w:t>三公</w:t>
      </w:r>
      <w:r>
        <w:rPr>
          <w:rFonts w:eastAsia="仿宋_GB2312"/>
          <w:b/>
          <w:bCs/>
          <w:sz w:val="32"/>
          <w:szCs w:val="32"/>
        </w:rPr>
        <w:t>”</w:t>
      </w:r>
      <w:r>
        <w:rPr>
          <w:rFonts w:hint="eastAsia" w:eastAsia="仿宋_GB2312"/>
          <w:b/>
          <w:bCs/>
          <w:sz w:val="32"/>
          <w:szCs w:val="32"/>
        </w:rPr>
        <w:t>经费</w:t>
      </w:r>
      <w:r>
        <w:rPr>
          <w:rFonts w:hint="eastAsia" w:eastAsia="仿宋_GB2312"/>
          <w:b/>
          <w:sz w:val="32"/>
          <w:szCs w:val="32"/>
        </w:rPr>
        <w:t>：</w:t>
      </w:r>
      <w:r>
        <w:rPr>
          <w:rFonts w:hint="eastAsia" w:eastAsia="仿宋_GB2312"/>
          <w:sz w:val="32"/>
          <w:szCs w:val="32"/>
        </w:rPr>
        <w:t>纳入财政预算管理的</w:t>
      </w:r>
      <w:r>
        <w:rPr>
          <w:rFonts w:eastAsia="仿宋_GB2312"/>
          <w:sz w:val="32"/>
          <w:szCs w:val="32"/>
        </w:rPr>
        <w:t>“</w:t>
      </w:r>
      <w:r>
        <w:rPr>
          <w:rFonts w:hint="eastAsia" w:eastAsia="仿宋_GB2312"/>
          <w:sz w:val="32"/>
          <w:szCs w:val="32"/>
        </w:rPr>
        <w:t>三公</w:t>
      </w:r>
      <w:r>
        <w:rPr>
          <w:rFonts w:eastAsia="仿宋_GB2312"/>
          <w:sz w:val="32"/>
          <w:szCs w:val="32"/>
        </w:rPr>
        <w:t>”</w:t>
      </w:r>
      <w:r>
        <w:rPr>
          <w:rFonts w:hint="eastAsia" w:eastAsia="仿宋_GB2312"/>
          <w:sz w:val="32"/>
          <w:szCs w:val="32"/>
        </w:rPr>
        <w:t>经费，是指用财政拨款安排的因公出国（境）费、公务用车购置及运行费和公务接待费。其中，因公出国（境）费反映单位公务出国（境）的住宿费、旅费、伙食补助费、杂费、培训费等支出；公务用车购置及运行费反映单位公务用车购置费及燃料费、维修费、过路过桥费、保险费、安全奖励费用等支出；公务接待费反映单位按规定开支的各类公务接待支出。</w:t>
      </w:r>
      <w:r>
        <w:rPr>
          <w:rFonts w:eastAsia="仿宋_GB2312"/>
          <w:sz w:val="32"/>
          <w:szCs w:val="32"/>
        </w:rPr>
        <w:t xml:space="preserve"> </w:t>
      </w:r>
    </w:p>
    <w:p>
      <w:pPr>
        <w:rPr>
          <w:rFonts w:eastAsia="仿宋_GB2312"/>
          <w:sz w:val="32"/>
          <w:szCs w:val="32"/>
        </w:rPr>
      </w:pPr>
    </w:p>
    <w:p>
      <w:pPr>
        <w:rPr>
          <w:rFonts w:hAnsi="黑体" w:eastAsia="黑体"/>
          <w:spacing w:val="-16"/>
          <w:kern w:val="0"/>
          <w:sz w:val="32"/>
          <w:szCs w:val="32"/>
        </w:rPr>
      </w:pPr>
      <w:r>
        <w:rPr>
          <w:rFonts w:hint="eastAsia" w:eastAsia="黑体"/>
          <w:sz w:val="32"/>
          <w:szCs w:val="32"/>
        </w:rPr>
        <w:t>八</w:t>
      </w:r>
      <w:r>
        <w:rPr>
          <w:rFonts w:eastAsia="黑体"/>
          <w:sz w:val="32"/>
          <w:szCs w:val="32"/>
        </w:rPr>
        <w:t>、</w:t>
      </w:r>
      <w:r>
        <w:rPr>
          <w:rFonts w:hint="eastAsia" w:eastAsia="黑体"/>
          <w:sz w:val="32"/>
          <w:szCs w:val="32"/>
        </w:rPr>
        <w:t>其他需要说明的事项</w:t>
      </w:r>
    </w:p>
    <w:p>
      <w:pPr>
        <w:ind w:firstLine="640" w:firstLineChars="200"/>
        <w:rPr>
          <w:rFonts w:eastAsia="仿宋_GB2312"/>
          <w:sz w:val="32"/>
          <w:szCs w:val="32"/>
        </w:rPr>
      </w:pPr>
      <w:r>
        <w:rPr>
          <w:rFonts w:hint="eastAsia" w:eastAsia="仿宋_GB2312"/>
          <w:sz w:val="32"/>
          <w:szCs w:val="32"/>
        </w:rPr>
        <w:t>我</w:t>
      </w:r>
      <w:r>
        <w:rPr>
          <w:rFonts w:eastAsia="仿宋_GB2312"/>
          <w:sz w:val="32"/>
          <w:szCs w:val="32"/>
        </w:rPr>
        <w:t>部门无其他需要说明的事项</w:t>
      </w:r>
      <w:r>
        <w:rPr>
          <w:rFonts w:hint="eastAsia" w:eastAsia="仿宋_GB2312"/>
          <w:sz w:val="32"/>
          <w:szCs w:val="32"/>
        </w:rPr>
        <w:t>。</w:t>
      </w:r>
    </w:p>
    <w:p>
      <w:pPr>
        <w:ind w:firstLine="640" w:firstLineChars="200"/>
        <w:rPr>
          <w:rFonts w:eastAsia="仿宋_GB2312"/>
          <w:sz w:val="32"/>
          <w:szCs w:val="32"/>
        </w:rPr>
      </w:pPr>
    </w:p>
    <w:p>
      <w:pPr>
        <w:ind w:firstLine="640" w:firstLineChars="200"/>
        <w:rPr>
          <w:rFonts w:eastAsia="仿宋_GB2312"/>
          <w:sz w:val="32"/>
          <w:szCs w:val="32"/>
        </w:rPr>
      </w:pPr>
    </w:p>
    <w:p>
      <w:pPr>
        <w:ind w:firstLine="640" w:firstLineChars="200"/>
        <w:rPr>
          <w:rFonts w:hint="eastAsia" w:eastAsia="仿宋_GB2312"/>
          <w:sz w:val="32"/>
          <w:szCs w:val="32"/>
        </w:rPr>
      </w:pPr>
    </w:p>
    <w:p>
      <w:pPr>
        <w:ind w:firstLine="640" w:firstLineChars="200"/>
        <w:rPr>
          <w:rFonts w:eastAsia="仿宋_GB2312"/>
          <w:sz w:val="32"/>
          <w:szCs w:val="32"/>
        </w:rPr>
      </w:pPr>
    </w:p>
    <w:p>
      <w:pPr>
        <w:ind w:firstLine="640" w:firstLineChars="200"/>
        <w:rPr>
          <w:rFonts w:eastAsia="仿宋_GB2312"/>
          <w:sz w:val="32"/>
          <w:szCs w:val="32"/>
        </w:rPr>
      </w:pPr>
    </w:p>
    <w:p>
      <w:pPr>
        <w:jc w:val="center"/>
        <w:rPr>
          <w:rFonts w:ascii="方正小标宋_GBK" w:eastAsia="方正小标宋_GBK"/>
          <w:b/>
          <w:sz w:val="44"/>
        </w:rPr>
      </w:pPr>
      <w:r>
        <w:rPr>
          <w:rFonts w:hint="eastAsia" w:ascii="方正小标宋_GBK" w:eastAsia="方正小标宋_GBK"/>
          <w:b/>
          <w:sz w:val="44"/>
        </w:rPr>
        <w:t>2020年</w:t>
      </w:r>
      <w:r>
        <w:rPr>
          <w:rFonts w:ascii="方正小标宋_GBK" w:eastAsia="方正小标宋_GBK"/>
          <w:b/>
          <w:sz w:val="44"/>
        </w:rPr>
        <w:t>部门预算绩效信息</w:t>
      </w:r>
    </w:p>
    <w:p>
      <w:pPr>
        <w:jc w:val="center"/>
        <w:rPr>
          <w:rFonts w:hint="eastAsia" w:ascii="方正小标宋_GBK" w:eastAsia="方正小标宋_GBK"/>
          <w:b/>
          <w:sz w:val="44"/>
        </w:rPr>
      </w:pPr>
    </w:p>
    <w:p>
      <w:pPr>
        <w:jc w:val="center"/>
        <w:rPr>
          <w:rFonts w:hAnsi="宋体"/>
          <w:sz w:val="32"/>
          <w:szCs w:val="32"/>
        </w:rPr>
      </w:pPr>
      <w:r>
        <w:rPr>
          <w:rFonts w:hint="eastAsia" w:ascii="方正小标宋_GBK" w:eastAsia="方正小标宋_GBK"/>
          <w:sz w:val="32"/>
          <w:szCs w:val="32"/>
        </w:rPr>
        <w:t>第一部分</w:t>
      </w:r>
      <w:r>
        <w:rPr>
          <w:rFonts w:hint="eastAsia" w:hAnsi="宋体"/>
          <w:sz w:val="32"/>
          <w:szCs w:val="32"/>
        </w:rPr>
        <w:t xml:space="preserve"> </w:t>
      </w:r>
      <w:r>
        <w:rPr>
          <w:rFonts w:hint="eastAsia" w:ascii="方正小标宋_GBK" w:eastAsia="方正小标宋_GBK"/>
          <w:sz w:val="32"/>
          <w:szCs w:val="32"/>
        </w:rPr>
        <w:t>部门整体绩效目标</w:t>
      </w:r>
      <w:r>
        <w:rPr>
          <w:rFonts w:ascii="方正小标宋_GBK" w:eastAsia="方正小标宋_GBK"/>
          <w:sz w:val="32"/>
          <w:szCs w:val="32"/>
        </w:rPr>
        <w:t xml:space="preserve"> </w:t>
      </w:r>
    </w:p>
    <w:p>
      <w:pPr>
        <w:ind w:firstLine="560" w:firstLineChars="200"/>
        <w:jc w:val="left"/>
        <w:outlineLvl w:val="1"/>
        <w:rPr>
          <w:rFonts w:hAnsi="宋体"/>
          <w:sz w:val="28"/>
        </w:rPr>
      </w:pPr>
      <w:r>
        <w:rPr>
          <w:rFonts w:hint="eastAsia" w:ascii="方正黑体_GBK" w:eastAsia="方正黑体_GBK"/>
          <w:sz w:val="28"/>
        </w:rPr>
        <w:t>一、总体绩效目标</w:t>
      </w:r>
      <w:r>
        <w:rPr>
          <w:rFonts w:ascii="方正黑体_GBK" w:eastAsia="方正黑体_GBK"/>
          <w:sz w:val="28"/>
        </w:rP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w:instrText>
      </w:r>
      <w:bookmarkStart w:id="0" w:name="_Toc29430186"/>
      <w:r>
        <w:rPr>
          <w:rFonts w:hint="eastAsia" w:ascii="方正黑体_GBK" w:eastAsia="方正黑体_GBK"/>
          <w:sz w:val="28"/>
        </w:rPr>
        <w:instrText xml:space="preserve">总体绩效目标</w:instrText>
      </w:r>
      <w:bookmarkEnd w:id="0"/>
      <w:r>
        <w:rPr>
          <w:rFonts w:hint="eastAsia" w:ascii="方正黑体_GBK" w:eastAsia="方正黑体_GBK"/>
          <w:sz w:val="28"/>
        </w:rPr>
        <w:instrText xml:space="preserve"> \f A \l 1</w:instrText>
      </w:r>
      <w:r>
        <w:rPr>
          <w:rFonts w:ascii="方正黑体_GBK" w:eastAsia="方正黑体_GBK"/>
          <w:sz w:val="28"/>
        </w:rPr>
        <w:instrText xml:space="preserve"> </w:instrText>
      </w:r>
      <w:r>
        <w:rPr>
          <w:rFonts w:ascii="方正黑体_GBK" w:eastAsia="方正黑体_GBK"/>
          <w:sz w:val="28"/>
        </w:rPr>
        <w:fldChar w:fldCharType="end"/>
      </w:r>
    </w:p>
    <w:p>
      <w:pPr>
        <w:spacing w:line="500" w:lineRule="exact"/>
        <w:ind w:firstLine="560" w:firstLineChars="200"/>
        <w:jc w:val="left"/>
        <w:rPr>
          <w:rFonts w:eastAsia="方正仿宋_GBK"/>
          <w:sz w:val="28"/>
        </w:rPr>
      </w:pPr>
      <w:r>
        <w:rPr>
          <w:rFonts w:eastAsia="方正仿宋_GBK"/>
          <w:sz w:val="28"/>
        </w:rPr>
        <w:t>2020年，出口加工区将全力推进整合优化综合保税区工作，整合优化后的秦皇岛综合保税区将以综保区高水平开放高质量发展研究为突破口，结合现有的中信戴卡物流集散中心和海东青冷链物流集散中心的基础，逐步建立秦皇岛综合保税区的物流分拨中心，探索发展的新思路，制定切实可行的发展规划，符合《国务院关于促进综合保税区高水平开放高质量发展的若干意见》（国发〔2019〕3号）关于推动综合保税区发展成为具有全球影响力和竞争力的物流分拨中心的要求。</w:t>
      </w:r>
    </w:p>
    <w:p>
      <w:pPr>
        <w:spacing w:line="500" w:lineRule="exact"/>
        <w:ind w:firstLine="560" w:firstLineChars="200"/>
        <w:jc w:val="left"/>
        <w:rPr>
          <w:rFonts w:eastAsia="方正仿宋_GBK"/>
          <w:sz w:val="28"/>
        </w:rPr>
      </w:pPr>
    </w:p>
    <w:p>
      <w:pPr>
        <w:spacing w:line="500" w:lineRule="exact"/>
        <w:ind w:firstLine="560" w:firstLineChars="200"/>
        <w:jc w:val="left"/>
        <w:outlineLvl w:val="1"/>
        <w:rPr>
          <w:rFonts w:hAnsi="宋体"/>
          <w:sz w:val="28"/>
        </w:rPr>
      </w:pPr>
      <w:r>
        <w:rPr>
          <w:rFonts w:hint="eastAsia" w:ascii="方正黑体_GBK" w:eastAsia="方正黑体_GBK"/>
          <w:sz w:val="28"/>
        </w:rPr>
        <w:t>二、分项绩效目标</w:t>
      </w:r>
      <w:r>
        <w:rPr>
          <w:rFonts w:ascii="方正黑体_GBK" w:eastAsia="方正黑体_GBK"/>
          <w:sz w:val="28"/>
        </w:rP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w:instrText>
      </w:r>
      <w:bookmarkStart w:id="1" w:name="_Toc29430187"/>
      <w:r>
        <w:rPr>
          <w:rFonts w:hint="eastAsia" w:ascii="方正黑体_GBK" w:eastAsia="方正黑体_GBK"/>
          <w:sz w:val="28"/>
        </w:rPr>
        <w:instrText xml:space="preserve">分项绩效目标</w:instrText>
      </w:r>
      <w:bookmarkEnd w:id="1"/>
      <w:r>
        <w:rPr>
          <w:rFonts w:hint="eastAsia" w:ascii="方正黑体_GBK" w:eastAsia="方正黑体_GBK"/>
          <w:sz w:val="28"/>
        </w:rPr>
        <w:instrText xml:space="preserve"> \f A \l 1</w:instrText>
      </w:r>
      <w:r>
        <w:rPr>
          <w:rFonts w:ascii="方正黑体_GBK" w:eastAsia="方正黑体_GBK"/>
          <w:sz w:val="28"/>
        </w:rPr>
        <w:instrText xml:space="preserve"> </w:instrText>
      </w:r>
      <w:r>
        <w:rPr>
          <w:rFonts w:ascii="方正黑体_GBK" w:eastAsia="方正黑体_GBK"/>
          <w:sz w:val="28"/>
        </w:rPr>
        <w:fldChar w:fldCharType="end"/>
      </w:r>
    </w:p>
    <w:p>
      <w:pPr>
        <w:spacing w:line="500" w:lineRule="exact"/>
        <w:ind w:firstLine="560" w:firstLineChars="200"/>
        <w:jc w:val="left"/>
        <w:rPr>
          <w:rFonts w:eastAsia="方正仿宋_GBK"/>
          <w:sz w:val="28"/>
        </w:rPr>
      </w:pPr>
      <w:r>
        <w:rPr>
          <w:rFonts w:hint="eastAsia" w:eastAsia="方正仿宋_GBK"/>
          <w:sz w:val="28"/>
        </w:rPr>
        <w:t>（一）</w:t>
      </w:r>
      <w:r>
        <w:rPr>
          <w:rFonts w:eastAsia="方正仿宋_GBK"/>
          <w:sz w:val="28"/>
        </w:rPr>
        <w:t>积极协调海关和管委各部门处理企业提出需要解决的事项。</w:t>
      </w:r>
    </w:p>
    <w:p>
      <w:pPr>
        <w:spacing w:line="500" w:lineRule="exact"/>
        <w:ind w:firstLine="560" w:firstLineChars="200"/>
        <w:jc w:val="left"/>
        <w:rPr>
          <w:rFonts w:eastAsia="方正仿宋_GBK"/>
          <w:sz w:val="28"/>
        </w:rPr>
      </w:pPr>
      <w:r>
        <w:rPr>
          <w:rFonts w:eastAsia="方正仿宋_GBK"/>
          <w:sz w:val="28"/>
        </w:rPr>
        <w:t>绩效目标：协助新设立企业领办及代办前期相关手续；对区内企业开展加工贸易业务进行审批；定期总结上报区内开展加工贸易情况；为各级各部门及企业提供政策咨询服务；参与区内项目投资洽谈工作。</w:t>
      </w:r>
    </w:p>
    <w:p>
      <w:pPr>
        <w:spacing w:line="500" w:lineRule="exact"/>
        <w:ind w:firstLine="560" w:firstLineChars="200"/>
        <w:jc w:val="left"/>
        <w:rPr>
          <w:rFonts w:eastAsia="方正仿宋_GBK"/>
          <w:sz w:val="28"/>
        </w:rPr>
      </w:pPr>
      <w:r>
        <w:rPr>
          <w:rFonts w:eastAsia="方正仿宋_GBK"/>
          <w:sz w:val="28"/>
        </w:rPr>
        <w:t>绩效指标：1、进一步为企业正常良好发展提供保障。</w:t>
      </w:r>
    </w:p>
    <w:p>
      <w:pPr>
        <w:spacing w:line="500" w:lineRule="exact"/>
        <w:ind w:firstLine="560" w:firstLineChars="200"/>
        <w:jc w:val="left"/>
        <w:rPr>
          <w:rFonts w:eastAsia="方正仿宋_GBK"/>
          <w:sz w:val="28"/>
        </w:rPr>
      </w:pPr>
      <w:r>
        <w:rPr>
          <w:rFonts w:eastAsia="方正仿宋_GBK"/>
          <w:sz w:val="28"/>
        </w:rPr>
        <w:t xml:space="preserve">          2、保证卡口正常运行天数达全年95%。</w:t>
      </w:r>
    </w:p>
    <w:p>
      <w:pPr>
        <w:spacing w:line="500" w:lineRule="exact"/>
        <w:ind w:firstLine="560" w:firstLineChars="200"/>
        <w:jc w:val="left"/>
        <w:rPr>
          <w:rFonts w:eastAsia="方正仿宋_GBK"/>
          <w:sz w:val="28"/>
        </w:rPr>
      </w:pPr>
      <w:r>
        <w:rPr>
          <w:rFonts w:hint="eastAsia" w:eastAsia="方正仿宋_GBK"/>
          <w:sz w:val="28"/>
        </w:rPr>
        <w:t>（二）</w:t>
      </w:r>
      <w:r>
        <w:rPr>
          <w:rFonts w:eastAsia="方正仿宋_GBK"/>
          <w:sz w:val="28"/>
        </w:rPr>
        <w:t>对区内企业进行跟踪管理。</w:t>
      </w:r>
    </w:p>
    <w:p>
      <w:pPr>
        <w:spacing w:line="500" w:lineRule="exact"/>
        <w:ind w:firstLine="560" w:firstLineChars="200"/>
        <w:jc w:val="left"/>
        <w:rPr>
          <w:rFonts w:eastAsia="方正仿宋_GBK"/>
          <w:sz w:val="28"/>
        </w:rPr>
      </w:pPr>
      <w:r>
        <w:rPr>
          <w:rFonts w:eastAsia="方正仿宋_GBK"/>
          <w:sz w:val="28"/>
        </w:rPr>
        <w:t>绩效目标：及时掌握企业的生产经营情况；协调企业与出口加工区各管理部门及企业与企业之间的关系，及时为企业解决生产经营活动中遇到的问题；组织区内企业参加培训、参展及相关工作；建立和管理企业档案；完成上级各部门交办的调研和总结工作。</w:t>
      </w:r>
    </w:p>
    <w:p>
      <w:pPr>
        <w:spacing w:line="500" w:lineRule="exact"/>
        <w:ind w:firstLine="560" w:firstLineChars="200"/>
        <w:jc w:val="left"/>
        <w:rPr>
          <w:rFonts w:eastAsia="方正仿宋_GBK"/>
          <w:sz w:val="28"/>
        </w:rPr>
      </w:pPr>
      <w:r>
        <w:rPr>
          <w:rFonts w:eastAsia="方正仿宋_GBK"/>
          <w:sz w:val="28"/>
        </w:rPr>
        <w:t>绩效指标：1、进一步为企业发展提供保障。</w:t>
      </w:r>
    </w:p>
    <w:p>
      <w:pPr>
        <w:spacing w:line="500" w:lineRule="exact"/>
        <w:ind w:firstLine="560" w:firstLineChars="200"/>
        <w:jc w:val="left"/>
        <w:rPr>
          <w:rFonts w:eastAsia="方正仿宋_GBK"/>
          <w:sz w:val="28"/>
        </w:rPr>
      </w:pPr>
      <w:r>
        <w:rPr>
          <w:rFonts w:eastAsia="方正仿宋_GBK"/>
          <w:sz w:val="28"/>
        </w:rPr>
        <w:t xml:space="preserve">          2、区内企业满意度达到95%。</w:t>
      </w:r>
    </w:p>
    <w:p>
      <w:pPr>
        <w:spacing w:line="500" w:lineRule="exact"/>
        <w:ind w:firstLine="560" w:firstLineChars="200"/>
        <w:jc w:val="left"/>
        <w:rPr>
          <w:rFonts w:eastAsia="方正仿宋_GBK"/>
          <w:sz w:val="28"/>
        </w:rPr>
      </w:pPr>
      <w:r>
        <w:rPr>
          <w:rFonts w:hint="eastAsia" w:eastAsia="方正仿宋_GBK"/>
          <w:sz w:val="28"/>
        </w:rPr>
        <w:t>（三）</w:t>
      </w:r>
      <w:r>
        <w:rPr>
          <w:rFonts w:eastAsia="方正仿宋_GBK"/>
          <w:sz w:val="28"/>
        </w:rPr>
        <w:t>做好督察、文件、印信、文字起草等工作。</w:t>
      </w:r>
    </w:p>
    <w:p>
      <w:pPr>
        <w:spacing w:line="500" w:lineRule="exact"/>
        <w:ind w:firstLine="560" w:firstLineChars="200"/>
        <w:jc w:val="left"/>
        <w:rPr>
          <w:rFonts w:eastAsia="方正仿宋_GBK"/>
          <w:sz w:val="28"/>
        </w:rPr>
      </w:pPr>
      <w:r>
        <w:rPr>
          <w:rFonts w:eastAsia="方正仿宋_GBK"/>
          <w:sz w:val="28"/>
        </w:rPr>
        <w:t>绩效目标：督察督办、政务联络、应急管理高质量审核公文；及时办理各类文电，确保事项在第一时间得到批示意见；高质量起草的重要讲话及重要文稿；及时起草文件及各类汇报材材、上传下达重要文稿；组织专题调研；承办领导交办的其他事项；及时宣讲国家法律、法规和有关规定，复制推广，先行先试</w:t>
      </w:r>
    </w:p>
    <w:p>
      <w:pPr>
        <w:spacing w:line="500" w:lineRule="exact"/>
        <w:ind w:firstLine="560" w:firstLineChars="200"/>
        <w:jc w:val="left"/>
        <w:rPr>
          <w:rFonts w:eastAsia="方正仿宋_GBK"/>
          <w:sz w:val="28"/>
        </w:rPr>
      </w:pPr>
      <w:r>
        <w:rPr>
          <w:rFonts w:eastAsia="方正仿宋_GBK"/>
          <w:sz w:val="28"/>
        </w:rPr>
        <w:t>绩效指标：1、进一步保障二期封关及各项工作正常进行，综保区顺利封关运行</w:t>
      </w:r>
    </w:p>
    <w:p>
      <w:pPr>
        <w:spacing w:line="500" w:lineRule="exact"/>
        <w:ind w:firstLine="1960" w:firstLineChars="700"/>
        <w:jc w:val="left"/>
        <w:rPr>
          <w:rFonts w:eastAsia="方正仿宋_GBK"/>
          <w:sz w:val="28"/>
        </w:rPr>
      </w:pPr>
      <w:r>
        <w:rPr>
          <w:rFonts w:eastAsia="方正仿宋_GBK"/>
          <w:sz w:val="28"/>
        </w:rPr>
        <w:t>2、确保二期封关工作在2020年6月份完成。</w:t>
      </w:r>
    </w:p>
    <w:p>
      <w:pPr>
        <w:spacing w:line="500" w:lineRule="exact"/>
        <w:ind w:firstLine="560" w:firstLineChars="200"/>
        <w:jc w:val="left"/>
        <w:rPr>
          <w:rFonts w:eastAsia="方正仿宋_GBK"/>
          <w:sz w:val="28"/>
        </w:rPr>
      </w:pPr>
      <w:r>
        <w:rPr>
          <w:rFonts w:hint="eastAsia" w:eastAsia="方正仿宋_GBK"/>
          <w:sz w:val="28"/>
        </w:rPr>
        <w:t>（四）</w:t>
      </w:r>
      <w:r>
        <w:rPr>
          <w:rFonts w:eastAsia="方正仿宋_GBK"/>
          <w:sz w:val="28"/>
        </w:rPr>
        <w:t>做好财务、会议、公务接待和公车管理工作。</w:t>
      </w:r>
    </w:p>
    <w:p>
      <w:pPr>
        <w:spacing w:line="500" w:lineRule="exact"/>
        <w:ind w:firstLine="560" w:firstLineChars="200"/>
        <w:jc w:val="left"/>
        <w:rPr>
          <w:rFonts w:eastAsia="方正仿宋_GBK"/>
          <w:sz w:val="28"/>
        </w:rPr>
      </w:pPr>
      <w:r>
        <w:rPr>
          <w:rFonts w:eastAsia="方正仿宋_GBK"/>
          <w:sz w:val="28"/>
        </w:rPr>
        <w:t>绩效目标：做好帐务处理，有效编报年度预决算；负责职工各项保险、工资等编报、审核；处理好会议管理、公务接待及政务信息服务工作和网络系统安全；负责机关公务用车的使用管理。</w:t>
      </w:r>
    </w:p>
    <w:p>
      <w:pPr>
        <w:spacing w:line="500" w:lineRule="exact"/>
        <w:ind w:firstLine="560" w:firstLineChars="200"/>
        <w:jc w:val="left"/>
        <w:rPr>
          <w:rFonts w:eastAsia="方正仿宋_GBK"/>
          <w:sz w:val="28"/>
        </w:rPr>
      </w:pPr>
      <w:r>
        <w:rPr>
          <w:rFonts w:eastAsia="方正仿宋_GBK"/>
          <w:sz w:val="28"/>
        </w:rPr>
        <w:t>绩效指标：1、群众满意度达到95%</w:t>
      </w:r>
    </w:p>
    <w:p>
      <w:pPr>
        <w:spacing w:line="500" w:lineRule="exact"/>
        <w:ind w:firstLine="560" w:firstLineChars="200"/>
        <w:jc w:val="left"/>
        <w:rPr>
          <w:rFonts w:eastAsia="方正仿宋_GBK"/>
          <w:sz w:val="28"/>
        </w:rPr>
      </w:pPr>
      <w:r>
        <w:rPr>
          <w:rFonts w:eastAsia="方正仿宋_GBK"/>
          <w:sz w:val="28"/>
        </w:rPr>
        <w:t xml:space="preserve">          2、保障正常办公天数达全年95%</w:t>
      </w:r>
    </w:p>
    <w:p>
      <w:pPr>
        <w:spacing w:line="500" w:lineRule="exact"/>
        <w:ind w:firstLine="560" w:firstLineChars="200"/>
        <w:jc w:val="left"/>
        <w:rPr>
          <w:rFonts w:eastAsia="方正仿宋_GBK"/>
          <w:sz w:val="28"/>
        </w:rPr>
      </w:pPr>
      <w:r>
        <w:rPr>
          <w:rFonts w:hint="eastAsia" w:eastAsia="方正仿宋_GBK"/>
          <w:sz w:val="28"/>
        </w:rPr>
        <w:t>（五）</w:t>
      </w:r>
      <w:r>
        <w:rPr>
          <w:rFonts w:eastAsia="方正仿宋_GBK"/>
          <w:sz w:val="28"/>
        </w:rPr>
        <w:t>做好加工区建设规划相关工作。</w:t>
      </w:r>
    </w:p>
    <w:p>
      <w:pPr>
        <w:spacing w:line="500" w:lineRule="exact"/>
        <w:ind w:firstLine="560" w:firstLineChars="200"/>
        <w:jc w:val="left"/>
        <w:rPr>
          <w:rFonts w:eastAsia="方正仿宋_GBK"/>
          <w:sz w:val="28"/>
        </w:rPr>
      </w:pPr>
      <w:r>
        <w:rPr>
          <w:rFonts w:eastAsia="方正仿宋_GBK"/>
          <w:sz w:val="28"/>
        </w:rPr>
        <w:t>绩效目标：对区内基础设施建设项目进行协调管理；做好区内土地、规划建设方面的统计报表工作；参与区内投资项目的洽谈，做好建设规划管理的总结报告工作。对区内建设项目的有关选址及规划建设方案进行初审；协调处理好企业遇到的相关问题；协调水、暖、电、讯等有关单位为企业及建设项目做好配套服务工作。</w:t>
      </w:r>
    </w:p>
    <w:p>
      <w:pPr>
        <w:spacing w:line="500" w:lineRule="exact"/>
        <w:ind w:firstLine="560" w:firstLineChars="200"/>
        <w:jc w:val="left"/>
        <w:rPr>
          <w:rFonts w:eastAsia="方正仿宋_GBK"/>
          <w:sz w:val="28"/>
        </w:rPr>
      </w:pPr>
      <w:r>
        <w:rPr>
          <w:rFonts w:eastAsia="方正仿宋_GBK"/>
          <w:sz w:val="28"/>
        </w:rPr>
        <w:t>绩效指标：1、进一步保障二期封关及各项工作正常进行，综保区顺利封关运行</w:t>
      </w:r>
    </w:p>
    <w:p>
      <w:pPr>
        <w:spacing w:line="500" w:lineRule="exact"/>
        <w:ind w:firstLine="560" w:firstLineChars="200"/>
        <w:jc w:val="left"/>
        <w:rPr>
          <w:rFonts w:eastAsia="方正仿宋_GBK"/>
          <w:sz w:val="28"/>
        </w:rPr>
      </w:pPr>
      <w:r>
        <w:rPr>
          <w:rFonts w:hint="eastAsia" w:eastAsia="方正仿宋_GBK"/>
          <w:sz w:val="28"/>
        </w:rPr>
        <w:t>（六）</w:t>
      </w:r>
      <w:r>
        <w:rPr>
          <w:rFonts w:eastAsia="方正仿宋_GBK"/>
          <w:sz w:val="28"/>
        </w:rPr>
        <w:t>做好楼内后勤保障工作，保证楼内各单位正常办公。</w:t>
      </w:r>
    </w:p>
    <w:p>
      <w:pPr>
        <w:spacing w:line="500" w:lineRule="exact"/>
        <w:ind w:firstLine="560" w:firstLineChars="200"/>
        <w:jc w:val="left"/>
        <w:rPr>
          <w:rFonts w:eastAsia="方正仿宋_GBK"/>
          <w:sz w:val="28"/>
        </w:rPr>
      </w:pPr>
      <w:r>
        <w:rPr>
          <w:rFonts w:eastAsia="方正仿宋_GBK"/>
          <w:sz w:val="28"/>
        </w:rPr>
        <w:t>绩效目标：保障管委、海关人员工作用餐，保障办公大楼楼内设备设施有效运转做好机关办公区房屋与附属设施的维修维护、值班值宿、防火防盗工作。</w:t>
      </w:r>
    </w:p>
    <w:p>
      <w:pPr>
        <w:spacing w:line="500" w:lineRule="exact"/>
        <w:ind w:firstLine="560" w:firstLineChars="200"/>
        <w:jc w:val="left"/>
        <w:rPr>
          <w:rFonts w:eastAsia="方正仿宋_GBK"/>
          <w:sz w:val="28"/>
        </w:rPr>
      </w:pPr>
      <w:r>
        <w:rPr>
          <w:rFonts w:eastAsia="方正仿宋_GBK"/>
          <w:sz w:val="28"/>
        </w:rPr>
        <w:t>绩效指标：1、保证楼内单位正常办公天数达全年95%及以上</w:t>
      </w:r>
    </w:p>
    <w:p>
      <w:pPr>
        <w:spacing w:line="500" w:lineRule="exact"/>
        <w:ind w:firstLine="560" w:firstLineChars="200"/>
        <w:jc w:val="left"/>
        <w:rPr>
          <w:rFonts w:eastAsia="方正仿宋_GBK"/>
          <w:sz w:val="28"/>
        </w:rPr>
      </w:pPr>
      <w:r>
        <w:rPr>
          <w:rFonts w:eastAsia="方正仿宋_GBK"/>
          <w:sz w:val="28"/>
        </w:rPr>
        <w:t xml:space="preserve">          2、食堂正常运行天数 达全年95%及以上</w:t>
      </w:r>
    </w:p>
    <w:p>
      <w:pPr>
        <w:spacing w:line="500" w:lineRule="exact"/>
        <w:ind w:firstLine="560" w:firstLineChars="200"/>
        <w:jc w:val="left"/>
        <w:rPr>
          <w:rFonts w:eastAsia="方正仿宋_GBK"/>
          <w:sz w:val="28"/>
        </w:rPr>
      </w:pPr>
      <w:r>
        <w:rPr>
          <w:rFonts w:hint="eastAsia" w:eastAsia="方正仿宋_GBK"/>
          <w:sz w:val="28"/>
        </w:rPr>
        <w:t>（七）</w:t>
      </w:r>
      <w:r>
        <w:rPr>
          <w:rFonts w:eastAsia="方正仿宋_GBK"/>
          <w:sz w:val="28"/>
        </w:rPr>
        <w:t>保障管委、海关人员工作用餐。</w:t>
      </w:r>
    </w:p>
    <w:p>
      <w:pPr>
        <w:spacing w:line="500" w:lineRule="exact"/>
        <w:ind w:firstLine="560" w:firstLineChars="200"/>
        <w:jc w:val="left"/>
        <w:rPr>
          <w:rFonts w:eastAsia="方正仿宋_GBK"/>
          <w:sz w:val="28"/>
        </w:rPr>
      </w:pPr>
      <w:r>
        <w:rPr>
          <w:rFonts w:eastAsia="方正仿宋_GBK"/>
          <w:sz w:val="28"/>
        </w:rPr>
        <w:t>绩效目标：加强机关科学化管理、规范化管理，完善各项管理制度，保证职工和其他人员就餐质量和安全。</w:t>
      </w:r>
    </w:p>
    <w:p>
      <w:pPr>
        <w:spacing w:line="500" w:lineRule="exact"/>
        <w:ind w:firstLine="560" w:firstLineChars="200"/>
        <w:jc w:val="left"/>
        <w:rPr>
          <w:rFonts w:eastAsia="方正仿宋_GBK"/>
          <w:sz w:val="28"/>
        </w:rPr>
      </w:pPr>
      <w:r>
        <w:rPr>
          <w:rFonts w:eastAsia="方正仿宋_GBK"/>
          <w:sz w:val="28"/>
        </w:rPr>
        <w:t>绩效指标：1、群众满意度达95%及以上</w:t>
      </w:r>
    </w:p>
    <w:p>
      <w:pPr>
        <w:spacing w:line="500" w:lineRule="exact"/>
        <w:ind w:firstLine="560" w:firstLineChars="200"/>
        <w:jc w:val="left"/>
        <w:rPr>
          <w:rFonts w:eastAsia="方正仿宋_GBK"/>
          <w:sz w:val="28"/>
        </w:rPr>
      </w:pPr>
      <w:r>
        <w:rPr>
          <w:rFonts w:hint="eastAsia" w:eastAsia="方正仿宋_GBK"/>
          <w:sz w:val="28"/>
        </w:rPr>
        <w:t>（八）</w:t>
      </w:r>
      <w:r>
        <w:rPr>
          <w:rFonts w:eastAsia="方正仿宋_GBK"/>
          <w:sz w:val="28"/>
        </w:rPr>
        <w:t>对加工区内企业经营情况进行统计分析。</w:t>
      </w:r>
    </w:p>
    <w:p>
      <w:pPr>
        <w:spacing w:line="500" w:lineRule="exact"/>
        <w:ind w:firstLine="560" w:firstLineChars="200"/>
        <w:jc w:val="left"/>
        <w:rPr>
          <w:rFonts w:eastAsia="方正仿宋_GBK"/>
          <w:sz w:val="28"/>
        </w:rPr>
      </w:pPr>
      <w:r>
        <w:rPr>
          <w:rFonts w:eastAsia="方正仿宋_GBK"/>
          <w:sz w:val="28"/>
        </w:rPr>
        <w:t>绩效目标：执行国家统计标准，贯彻全国统一的基本统计报表制度；掌握区内企业的实际经营情况，汇总统计企业生产经营数据，并定期向加工区管委及统计主管部门上报；根据管理需要，对加工区企业经营情况进行统计分析。</w:t>
      </w:r>
    </w:p>
    <w:p>
      <w:pPr>
        <w:spacing w:line="500" w:lineRule="exact"/>
        <w:ind w:firstLine="560" w:firstLineChars="200"/>
        <w:jc w:val="left"/>
        <w:rPr>
          <w:rFonts w:eastAsia="方正仿宋_GBK"/>
          <w:sz w:val="28"/>
        </w:rPr>
      </w:pPr>
      <w:r>
        <w:rPr>
          <w:rFonts w:eastAsia="方正仿宋_GBK"/>
          <w:sz w:val="28"/>
        </w:rPr>
        <w:t>绩效指标：1、进一步为企业正常良好发展提供保障。</w:t>
      </w:r>
    </w:p>
    <w:p>
      <w:pPr>
        <w:spacing w:line="500" w:lineRule="exact"/>
        <w:ind w:firstLine="560" w:firstLineChars="200"/>
        <w:jc w:val="left"/>
        <w:rPr>
          <w:rFonts w:eastAsia="方正仿宋_GBK"/>
          <w:sz w:val="28"/>
        </w:rPr>
      </w:pPr>
      <w:r>
        <w:rPr>
          <w:rFonts w:eastAsia="方正仿宋_GBK"/>
          <w:sz w:val="28"/>
        </w:rPr>
        <w:t xml:space="preserve">          2、进一步拉动地方经济增长。</w:t>
      </w:r>
    </w:p>
    <w:p>
      <w:pPr>
        <w:spacing w:line="500" w:lineRule="exact"/>
        <w:ind w:firstLine="560" w:firstLineChars="200"/>
        <w:jc w:val="left"/>
        <w:rPr>
          <w:rFonts w:eastAsia="方正仿宋_GBK"/>
          <w:sz w:val="28"/>
        </w:rPr>
      </w:pPr>
      <w:r>
        <w:rPr>
          <w:rFonts w:hint="eastAsia" w:eastAsia="方正仿宋_GBK"/>
          <w:sz w:val="28"/>
        </w:rPr>
        <w:t>（九）</w:t>
      </w:r>
      <w:r>
        <w:rPr>
          <w:rFonts w:eastAsia="方正仿宋_GBK"/>
          <w:sz w:val="28"/>
        </w:rPr>
        <w:t>做好加工区对外联络工作。</w:t>
      </w:r>
    </w:p>
    <w:p>
      <w:pPr>
        <w:spacing w:line="500" w:lineRule="exact"/>
        <w:ind w:firstLine="560" w:firstLineChars="200"/>
        <w:jc w:val="left"/>
        <w:rPr>
          <w:rFonts w:eastAsia="方正仿宋_GBK"/>
          <w:sz w:val="28"/>
        </w:rPr>
      </w:pPr>
      <w:r>
        <w:rPr>
          <w:rFonts w:eastAsia="方正仿宋_GBK"/>
          <w:sz w:val="28"/>
        </w:rPr>
        <w:t>绩效目标：做好出口加工区对外联络工作，与驻区单位和各级部门做好沟通，做好对外商务联络和外办各项工作。</w:t>
      </w:r>
    </w:p>
    <w:p>
      <w:pPr>
        <w:spacing w:line="500" w:lineRule="exact"/>
        <w:ind w:firstLine="560" w:firstLineChars="200"/>
        <w:jc w:val="left"/>
        <w:rPr>
          <w:rFonts w:eastAsia="方正仿宋_GBK"/>
          <w:sz w:val="28"/>
        </w:rPr>
      </w:pPr>
      <w:r>
        <w:rPr>
          <w:rFonts w:eastAsia="方正仿宋_GBK"/>
          <w:sz w:val="28"/>
        </w:rPr>
        <w:t>绩效指标：1、进一步提升社会影响力，促进招商引资。</w:t>
      </w:r>
    </w:p>
    <w:p>
      <w:pPr>
        <w:spacing w:line="500" w:lineRule="exact"/>
        <w:ind w:firstLine="560" w:firstLineChars="200"/>
        <w:jc w:val="left"/>
        <w:rPr>
          <w:rFonts w:eastAsia="方正仿宋_GBK"/>
          <w:sz w:val="28"/>
        </w:rPr>
      </w:pPr>
      <w:r>
        <w:rPr>
          <w:rFonts w:hint="eastAsia" w:eastAsia="方正仿宋_GBK"/>
          <w:sz w:val="28"/>
        </w:rPr>
        <w:t>（十）</w:t>
      </w:r>
      <w:r>
        <w:rPr>
          <w:rFonts w:eastAsia="方正仿宋_GBK"/>
          <w:sz w:val="28"/>
        </w:rPr>
        <w:t>做好政策宣传工作。</w:t>
      </w:r>
    </w:p>
    <w:p>
      <w:pPr>
        <w:spacing w:line="500" w:lineRule="exact"/>
        <w:ind w:firstLine="560" w:firstLineChars="200"/>
        <w:jc w:val="left"/>
        <w:rPr>
          <w:rFonts w:eastAsia="方正仿宋_GBK"/>
          <w:sz w:val="28"/>
        </w:rPr>
      </w:pPr>
      <w:r>
        <w:rPr>
          <w:rFonts w:eastAsia="方正仿宋_GBK"/>
          <w:sz w:val="28"/>
        </w:rPr>
        <w:t>绩效目标：及时向区内企业宣传国家法律、法规和有关规定，复制推广，先行先试。</w:t>
      </w:r>
    </w:p>
    <w:p>
      <w:pPr>
        <w:spacing w:line="500" w:lineRule="exact"/>
        <w:ind w:firstLine="560" w:firstLineChars="200"/>
        <w:jc w:val="left"/>
        <w:rPr>
          <w:rFonts w:eastAsia="方正仿宋_GBK"/>
          <w:sz w:val="28"/>
        </w:rPr>
      </w:pPr>
      <w:r>
        <w:rPr>
          <w:rFonts w:eastAsia="方正仿宋_GBK"/>
          <w:sz w:val="28"/>
        </w:rPr>
        <w:t>绩效指标：</w:t>
      </w:r>
      <w:r>
        <w:rPr>
          <w:rFonts w:hint="eastAsia" w:eastAsia="方正仿宋_GBK"/>
          <w:sz w:val="28"/>
        </w:rPr>
        <w:t>1、</w:t>
      </w:r>
      <w:r>
        <w:rPr>
          <w:rFonts w:eastAsia="方正仿宋_GBK"/>
          <w:sz w:val="28"/>
        </w:rPr>
        <w:t>区内企业及群众满意度均达到95%及以上。</w:t>
      </w:r>
    </w:p>
    <w:p>
      <w:pPr>
        <w:spacing w:line="500" w:lineRule="exact"/>
        <w:ind w:firstLine="560" w:firstLineChars="200"/>
        <w:jc w:val="left"/>
        <w:rPr>
          <w:rFonts w:eastAsia="方正仿宋_GBK"/>
          <w:sz w:val="28"/>
        </w:rPr>
      </w:pPr>
    </w:p>
    <w:p>
      <w:pPr>
        <w:spacing w:line="500" w:lineRule="exact"/>
        <w:ind w:firstLine="560" w:firstLineChars="200"/>
        <w:jc w:val="left"/>
        <w:outlineLvl w:val="1"/>
        <w:rPr>
          <w:rFonts w:hAnsi="宋体"/>
          <w:sz w:val="28"/>
        </w:rPr>
      </w:pPr>
      <w:r>
        <w:rPr>
          <w:rFonts w:hint="eastAsia" w:ascii="方正黑体_GBK" w:eastAsia="方正黑体_GBK"/>
          <w:sz w:val="28"/>
        </w:rPr>
        <w:t>三、工作保障措施</w:t>
      </w:r>
      <w:r>
        <w:rPr>
          <w:rFonts w:ascii="方正黑体_GBK" w:eastAsia="方正黑体_GBK"/>
          <w:sz w:val="28"/>
        </w:rP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w:instrText>
      </w:r>
      <w:bookmarkStart w:id="2" w:name="_Toc29430188"/>
      <w:r>
        <w:rPr>
          <w:rFonts w:hint="eastAsia" w:ascii="方正黑体_GBK" w:eastAsia="方正黑体_GBK"/>
          <w:sz w:val="28"/>
        </w:rPr>
        <w:instrText xml:space="preserve">工作保障措施</w:instrText>
      </w:r>
      <w:bookmarkEnd w:id="2"/>
      <w:r>
        <w:rPr>
          <w:rFonts w:hint="eastAsia" w:ascii="方正黑体_GBK" w:eastAsia="方正黑体_GBK"/>
          <w:sz w:val="28"/>
        </w:rPr>
        <w:instrText xml:space="preserve"> \f A \l 1</w:instrText>
      </w:r>
      <w:r>
        <w:rPr>
          <w:rFonts w:ascii="方正黑体_GBK" w:eastAsia="方正黑体_GBK"/>
          <w:sz w:val="28"/>
        </w:rPr>
        <w:instrText xml:space="preserve"> </w:instrText>
      </w:r>
      <w:r>
        <w:rPr>
          <w:rFonts w:ascii="方正黑体_GBK" w:eastAsia="方正黑体_GBK"/>
          <w:sz w:val="28"/>
        </w:rPr>
        <w:fldChar w:fldCharType="end"/>
      </w:r>
    </w:p>
    <w:p>
      <w:pPr>
        <w:spacing w:line="500" w:lineRule="exact"/>
        <w:ind w:firstLine="560" w:firstLineChars="200"/>
        <w:jc w:val="left"/>
        <w:rPr>
          <w:rFonts w:eastAsia="方正仿宋_GBK"/>
          <w:sz w:val="28"/>
        </w:rPr>
      </w:pPr>
      <w:r>
        <w:rPr>
          <w:rFonts w:hint="eastAsia" w:eastAsia="方正仿宋_GBK"/>
          <w:sz w:val="28"/>
        </w:rPr>
        <w:t>（一）</w:t>
      </w:r>
      <w:r>
        <w:rPr>
          <w:rFonts w:eastAsia="方正仿宋_GBK"/>
          <w:sz w:val="28"/>
        </w:rPr>
        <w:t>完善制度建设。</w:t>
      </w:r>
    </w:p>
    <w:p>
      <w:pPr>
        <w:spacing w:line="500" w:lineRule="exact"/>
        <w:ind w:firstLine="560" w:firstLineChars="200"/>
        <w:jc w:val="left"/>
        <w:rPr>
          <w:rFonts w:eastAsia="方正仿宋_GBK"/>
          <w:sz w:val="28"/>
        </w:rPr>
      </w:pPr>
      <w:r>
        <w:rPr>
          <w:rFonts w:eastAsia="方正仿宋_GBK"/>
          <w:sz w:val="28"/>
        </w:rPr>
        <w:t>1、制定完善预算管理制度。</w:t>
      </w:r>
    </w:p>
    <w:p>
      <w:pPr>
        <w:spacing w:line="500" w:lineRule="exact"/>
        <w:ind w:firstLine="560" w:firstLineChars="200"/>
        <w:jc w:val="left"/>
        <w:rPr>
          <w:rFonts w:eastAsia="方正仿宋_GBK"/>
          <w:sz w:val="28"/>
        </w:rPr>
      </w:pPr>
      <w:r>
        <w:rPr>
          <w:rFonts w:eastAsia="方正仿宋_GBK"/>
          <w:sz w:val="28"/>
        </w:rPr>
        <w:t>2、制定完善预算资金管理办法。</w:t>
      </w:r>
    </w:p>
    <w:p>
      <w:pPr>
        <w:spacing w:line="500" w:lineRule="exact"/>
        <w:ind w:firstLine="560" w:firstLineChars="200"/>
        <w:jc w:val="left"/>
        <w:rPr>
          <w:rFonts w:eastAsia="方正仿宋_GBK"/>
          <w:sz w:val="28"/>
        </w:rPr>
      </w:pPr>
      <w:r>
        <w:rPr>
          <w:rFonts w:eastAsia="方正仿宋_GBK"/>
          <w:sz w:val="28"/>
        </w:rPr>
        <w:t>3、制定完善预算工作保障制度。</w:t>
      </w:r>
    </w:p>
    <w:p>
      <w:pPr>
        <w:spacing w:line="500" w:lineRule="exact"/>
        <w:ind w:firstLine="560" w:firstLineChars="200"/>
        <w:jc w:val="left"/>
        <w:rPr>
          <w:rFonts w:eastAsia="方正仿宋_GBK"/>
          <w:sz w:val="28"/>
        </w:rPr>
      </w:pPr>
      <w:r>
        <w:rPr>
          <w:rFonts w:hint="eastAsia" w:eastAsia="方正仿宋_GBK"/>
          <w:sz w:val="28"/>
        </w:rPr>
        <w:t>（二）</w:t>
      </w:r>
      <w:r>
        <w:rPr>
          <w:rFonts w:eastAsia="方正仿宋_GBK"/>
          <w:sz w:val="28"/>
        </w:rPr>
        <w:t>加强支出管理。</w:t>
      </w:r>
    </w:p>
    <w:p>
      <w:pPr>
        <w:spacing w:line="500" w:lineRule="exact"/>
        <w:ind w:firstLine="560" w:firstLineChars="200"/>
        <w:jc w:val="left"/>
        <w:rPr>
          <w:rFonts w:eastAsia="方正仿宋_GBK"/>
          <w:sz w:val="28"/>
        </w:rPr>
      </w:pPr>
      <w:r>
        <w:rPr>
          <w:rFonts w:eastAsia="方正仿宋_GBK"/>
          <w:sz w:val="28"/>
        </w:rPr>
        <w:t>1、优化支出结构，编细编实预算。</w:t>
      </w:r>
    </w:p>
    <w:p>
      <w:pPr>
        <w:spacing w:line="500" w:lineRule="exact"/>
        <w:ind w:firstLine="560" w:firstLineChars="200"/>
        <w:jc w:val="left"/>
        <w:rPr>
          <w:rFonts w:eastAsia="方正仿宋_GBK"/>
          <w:sz w:val="28"/>
        </w:rPr>
      </w:pPr>
      <w:r>
        <w:rPr>
          <w:rFonts w:eastAsia="方正仿宋_GBK"/>
          <w:sz w:val="28"/>
        </w:rPr>
        <w:t>2、加快履行本年度政府采购手续，尽快启动项目。</w:t>
      </w:r>
    </w:p>
    <w:p>
      <w:pPr>
        <w:spacing w:line="500" w:lineRule="exact"/>
        <w:ind w:firstLine="560" w:firstLineChars="200"/>
        <w:jc w:val="left"/>
        <w:rPr>
          <w:rFonts w:eastAsia="方正仿宋_GBK"/>
          <w:sz w:val="28"/>
        </w:rPr>
      </w:pPr>
      <w:r>
        <w:rPr>
          <w:rFonts w:eastAsia="方正仿宋_GBK"/>
          <w:sz w:val="28"/>
        </w:rPr>
        <w:t>3、对各项手续符合规定的项目及时进行资金支付，达到支付目标。</w:t>
      </w:r>
    </w:p>
    <w:p>
      <w:pPr>
        <w:spacing w:line="500" w:lineRule="exact"/>
        <w:ind w:firstLine="560" w:firstLineChars="200"/>
        <w:jc w:val="left"/>
        <w:rPr>
          <w:rFonts w:eastAsia="方正仿宋_GBK"/>
          <w:sz w:val="28"/>
        </w:rPr>
      </w:pPr>
      <w:r>
        <w:rPr>
          <w:rFonts w:hint="eastAsia" w:eastAsia="方正仿宋_GBK"/>
          <w:sz w:val="28"/>
        </w:rPr>
        <w:t>（三）</w:t>
      </w:r>
      <w:r>
        <w:rPr>
          <w:rFonts w:eastAsia="方正仿宋_GBK"/>
          <w:sz w:val="28"/>
        </w:rPr>
        <w:t>加强绩效运行监控。</w:t>
      </w:r>
    </w:p>
    <w:p>
      <w:pPr>
        <w:spacing w:line="500" w:lineRule="exact"/>
        <w:ind w:firstLine="560" w:firstLineChars="200"/>
        <w:jc w:val="left"/>
        <w:rPr>
          <w:rFonts w:eastAsia="方正仿宋_GBK"/>
          <w:sz w:val="28"/>
        </w:rPr>
      </w:pPr>
      <w:r>
        <w:rPr>
          <w:rFonts w:eastAsia="方正仿宋_GBK"/>
          <w:sz w:val="28"/>
        </w:rPr>
        <w:t>1、按要求开展绩效运行监控，发现问题及时采取措施，确保绩效目标如期保质实现。</w:t>
      </w:r>
    </w:p>
    <w:p>
      <w:pPr>
        <w:spacing w:line="500" w:lineRule="exact"/>
        <w:ind w:firstLine="560" w:firstLineChars="200"/>
        <w:jc w:val="left"/>
        <w:rPr>
          <w:rFonts w:eastAsia="方正仿宋_GBK"/>
          <w:sz w:val="28"/>
        </w:rPr>
      </w:pPr>
      <w:r>
        <w:rPr>
          <w:rFonts w:hint="eastAsia" w:eastAsia="方正仿宋_GBK"/>
          <w:sz w:val="28"/>
        </w:rPr>
        <w:t>（四）</w:t>
      </w:r>
      <w:r>
        <w:rPr>
          <w:rFonts w:eastAsia="方正仿宋_GBK"/>
          <w:sz w:val="28"/>
        </w:rPr>
        <w:t>做好绩效自评。</w:t>
      </w:r>
    </w:p>
    <w:p>
      <w:pPr>
        <w:spacing w:line="500" w:lineRule="exact"/>
        <w:ind w:firstLine="560" w:firstLineChars="200"/>
        <w:jc w:val="left"/>
        <w:rPr>
          <w:rFonts w:eastAsia="方正仿宋_GBK"/>
          <w:sz w:val="28"/>
        </w:rPr>
      </w:pPr>
      <w:r>
        <w:rPr>
          <w:rFonts w:eastAsia="方正仿宋_GBK"/>
          <w:sz w:val="28"/>
        </w:rPr>
        <w:t>按要求开展上年度部门预算绩效自评和重点评价工作，对评价中发现的问题及时整改，调整优化支出结构，提高财政资金使用效益。</w:t>
      </w:r>
    </w:p>
    <w:p>
      <w:pPr>
        <w:spacing w:line="500" w:lineRule="exact"/>
        <w:ind w:firstLine="560" w:firstLineChars="200"/>
        <w:jc w:val="left"/>
        <w:rPr>
          <w:rFonts w:eastAsia="方正仿宋_GBK"/>
          <w:sz w:val="28"/>
        </w:rPr>
      </w:pPr>
      <w:r>
        <w:rPr>
          <w:rFonts w:hint="eastAsia" w:eastAsia="方正仿宋_GBK"/>
          <w:sz w:val="28"/>
        </w:rPr>
        <w:t>（五）</w:t>
      </w:r>
      <w:r>
        <w:rPr>
          <w:rFonts w:eastAsia="方正仿宋_GBK"/>
          <w:sz w:val="28"/>
        </w:rPr>
        <w:t>规范财务资产管理。</w:t>
      </w:r>
    </w:p>
    <w:p>
      <w:pPr>
        <w:spacing w:line="500" w:lineRule="exact"/>
        <w:ind w:firstLine="560" w:firstLineChars="200"/>
        <w:jc w:val="left"/>
        <w:rPr>
          <w:rFonts w:eastAsia="方正仿宋_GBK"/>
          <w:sz w:val="28"/>
        </w:rPr>
      </w:pPr>
      <w:r>
        <w:rPr>
          <w:rFonts w:eastAsia="方正仿宋_GBK"/>
          <w:sz w:val="28"/>
        </w:rPr>
        <w:t>1、完善财务管理制度，严格审批程序。</w:t>
      </w:r>
    </w:p>
    <w:p>
      <w:pPr>
        <w:spacing w:line="500" w:lineRule="exact"/>
        <w:ind w:firstLine="560" w:firstLineChars="200"/>
        <w:jc w:val="left"/>
        <w:rPr>
          <w:rFonts w:eastAsia="方正仿宋_GBK"/>
          <w:sz w:val="28"/>
        </w:rPr>
      </w:pPr>
      <w:r>
        <w:rPr>
          <w:rFonts w:eastAsia="方正仿宋_GBK"/>
          <w:sz w:val="28"/>
        </w:rPr>
        <w:t>2、加强固定资产登记、使用和报废处置管理，做到支出合理，物尽其用。</w:t>
      </w:r>
    </w:p>
    <w:p>
      <w:pPr>
        <w:spacing w:line="500" w:lineRule="exact"/>
        <w:ind w:firstLine="560" w:firstLineChars="200"/>
        <w:jc w:val="left"/>
        <w:rPr>
          <w:rFonts w:eastAsia="方正仿宋_GBK"/>
          <w:sz w:val="28"/>
        </w:rPr>
      </w:pPr>
      <w:r>
        <w:rPr>
          <w:rFonts w:hint="eastAsia" w:eastAsia="方正仿宋_GBK"/>
          <w:sz w:val="28"/>
        </w:rPr>
        <w:t>（六）</w:t>
      </w:r>
      <w:r>
        <w:rPr>
          <w:rFonts w:eastAsia="方正仿宋_GBK"/>
          <w:sz w:val="28"/>
        </w:rPr>
        <w:t>加强内部监督。</w:t>
      </w:r>
    </w:p>
    <w:p>
      <w:pPr>
        <w:spacing w:line="500" w:lineRule="exact"/>
        <w:ind w:firstLine="560" w:firstLineChars="200"/>
        <w:jc w:val="left"/>
        <w:rPr>
          <w:rFonts w:eastAsia="方正仿宋_GBK"/>
          <w:sz w:val="28"/>
        </w:rPr>
      </w:pPr>
      <w:r>
        <w:rPr>
          <w:rFonts w:eastAsia="方正仿宋_GBK"/>
          <w:sz w:val="28"/>
        </w:rPr>
        <w:t>1、加强内部监督制度建设，对绩效运行情况、重大支出决策、资产处置及其他重要经济业务事项的决策和执行进行督导。</w:t>
      </w:r>
    </w:p>
    <w:p>
      <w:pPr>
        <w:spacing w:line="500" w:lineRule="exact"/>
        <w:ind w:firstLine="560" w:firstLineChars="200"/>
        <w:jc w:val="left"/>
        <w:rPr>
          <w:rFonts w:eastAsia="方正仿宋_GBK"/>
          <w:sz w:val="28"/>
        </w:rPr>
      </w:pPr>
      <w:r>
        <w:rPr>
          <w:rFonts w:eastAsia="方正仿宋_GBK"/>
          <w:sz w:val="28"/>
        </w:rPr>
        <w:t>2、对会计资料进行内部审计，并配合做好审计、财政监督等外部监督工作，确保财政资金安全有效。</w:t>
      </w:r>
    </w:p>
    <w:p>
      <w:pPr>
        <w:spacing w:line="500" w:lineRule="exact"/>
        <w:ind w:firstLine="560" w:firstLineChars="200"/>
        <w:jc w:val="left"/>
        <w:rPr>
          <w:rFonts w:eastAsia="方正仿宋_GBK"/>
          <w:sz w:val="28"/>
        </w:rPr>
      </w:pPr>
      <w:r>
        <w:rPr>
          <w:rFonts w:hint="eastAsia" w:eastAsia="方正仿宋_GBK"/>
          <w:sz w:val="28"/>
        </w:rPr>
        <w:t>（七）</w:t>
      </w:r>
      <w:r>
        <w:rPr>
          <w:rFonts w:eastAsia="方正仿宋_GBK"/>
          <w:sz w:val="28"/>
        </w:rPr>
        <w:t>加强宣传培训调研。</w:t>
      </w:r>
    </w:p>
    <w:p>
      <w:pPr>
        <w:spacing w:line="500" w:lineRule="exact"/>
        <w:ind w:firstLine="560" w:firstLineChars="200"/>
        <w:jc w:val="left"/>
        <w:rPr>
          <w:rFonts w:eastAsia="方正仿宋_GBK"/>
          <w:sz w:val="28"/>
        </w:rPr>
      </w:pPr>
      <w:r>
        <w:rPr>
          <w:rFonts w:eastAsia="方正仿宋_GBK"/>
          <w:sz w:val="28"/>
        </w:rPr>
        <w:t>1、加强本部门相关人员业务素质，对相关人员进行培训，提高对绩效工作的重视程度。</w:t>
      </w:r>
    </w:p>
    <w:p>
      <w:pPr>
        <w:spacing w:line="500" w:lineRule="exact"/>
        <w:ind w:firstLine="560" w:firstLineChars="200"/>
        <w:jc w:val="left"/>
        <w:rPr>
          <w:rFonts w:eastAsia="方正仿宋_GBK"/>
          <w:sz w:val="28"/>
        </w:rPr>
      </w:pPr>
      <w:r>
        <w:rPr>
          <w:rFonts w:eastAsia="方正仿宋_GBK"/>
          <w:sz w:val="28"/>
        </w:rPr>
        <w:t>2、加强调研，提出优化财政资金配置、提高资金使用效益的意见；</w:t>
      </w:r>
    </w:p>
    <w:p>
      <w:pPr>
        <w:spacing w:line="500" w:lineRule="exact"/>
        <w:ind w:firstLine="560" w:firstLineChars="200"/>
        <w:jc w:val="left"/>
        <w:rPr>
          <w:rFonts w:eastAsia="方正仿宋_GBK"/>
          <w:sz w:val="28"/>
        </w:rPr>
      </w:pPr>
      <w:r>
        <w:rPr>
          <w:rFonts w:eastAsia="方正仿宋_GBK"/>
          <w:sz w:val="28"/>
        </w:rPr>
        <w:t>3、加大部门内宣传力度，强化预算绩效管理意识，促进预算绩效水平进一步提升。</w:t>
      </w:r>
    </w:p>
    <w:p>
      <w:pPr>
        <w:spacing w:line="500" w:lineRule="exact"/>
        <w:ind w:firstLine="560" w:firstLineChars="200"/>
        <w:jc w:val="left"/>
        <w:rPr>
          <w:rFonts w:eastAsia="方正仿宋_GBK"/>
          <w:sz w:val="28"/>
        </w:rPr>
      </w:pPr>
    </w:p>
    <w:p>
      <w:pPr>
        <w:ind w:firstLine="420" w:firstLineChars="200"/>
        <w:jc w:val="center"/>
        <w:rPr>
          <w:rFonts w:hAnsi="宋体"/>
        </w:rPr>
      </w:pPr>
      <w:r>
        <w:rPr>
          <w:rFonts w:ascii="方正书宋_GBK" w:eastAsia="方正书宋_GBK"/>
        </w:rPr>
        <w:t xml:space="preserve"> </w:t>
      </w:r>
    </w:p>
    <w:p>
      <w:pPr>
        <w:ind w:firstLine="560" w:firstLineChars="200"/>
        <w:jc w:val="center"/>
        <w:rPr>
          <w:rFonts w:eastAsia="方正仿宋_GBK"/>
          <w:sz w:val="28"/>
        </w:rPr>
        <w:sectPr>
          <w:footerReference r:id="rId3" w:type="default"/>
          <w:pgSz w:w="11907" w:h="16839"/>
          <w:pgMar w:top="1984" w:right="1304" w:bottom="1134" w:left="1304" w:header="851" w:footer="992" w:gutter="0"/>
          <w:pgNumType w:start="1"/>
          <w:cols w:space="425" w:num="1"/>
          <w:docGrid w:type="lines" w:linePitch="312" w:charSpace="0"/>
        </w:sectPr>
      </w:pPr>
    </w:p>
    <w:p>
      <w:pPr>
        <w:jc w:val="center"/>
        <w:rPr>
          <w:rFonts w:hAnsi="宋体"/>
          <w:sz w:val="32"/>
          <w:szCs w:val="32"/>
        </w:rPr>
      </w:pPr>
      <w:r>
        <w:rPr>
          <w:rFonts w:hint="eastAsia" w:ascii="方正小标宋_GBK" w:eastAsia="方正小标宋_GBK"/>
          <w:sz w:val="32"/>
          <w:szCs w:val="32"/>
        </w:rPr>
        <w:t>第二部分</w:t>
      </w:r>
      <w:r>
        <w:rPr>
          <w:rFonts w:hint="eastAsia" w:hAnsi="宋体"/>
          <w:sz w:val="32"/>
          <w:szCs w:val="32"/>
        </w:rPr>
        <w:t xml:space="preserve"> </w:t>
      </w:r>
      <w:r>
        <w:rPr>
          <w:rFonts w:hint="eastAsia" w:ascii="方正小标宋_GBK" w:eastAsia="方正小标宋_GBK"/>
          <w:sz w:val="32"/>
          <w:szCs w:val="32"/>
        </w:rPr>
        <w:t>专</w:t>
      </w:r>
      <w:r>
        <w:rPr>
          <w:rFonts w:ascii="方正小标宋_GBK" w:eastAsia="方正小标宋_GBK"/>
          <w:sz w:val="32"/>
          <w:szCs w:val="32"/>
        </w:rPr>
        <w:t>项资金</w:t>
      </w:r>
      <w:r>
        <w:rPr>
          <w:rFonts w:hint="eastAsia" w:ascii="方正小标宋_GBK" w:eastAsia="方正小标宋_GBK"/>
          <w:sz w:val="32"/>
          <w:szCs w:val="32"/>
        </w:rPr>
        <w:t>绩效目标</w:t>
      </w:r>
    </w:p>
    <w:p>
      <w:pPr>
        <w:rPr>
          <w:rFonts w:hint="eastAsia" w:ascii="方正小标宋_GBK" w:eastAsia="方正小标宋_GBK"/>
          <w:sz w:val="44"/>
        </w:rPr>
      </w:pPr>
    </w:p>
    <w:p>
      <w:pPr>
        <w:rPr>
          <w:rFonts w:hint="eastAsia" w:ascii="仿宋" w:hAnsi="仿宋" w:eastAsia="仿宋"/>
          <w:sz w:val="32"/>
          <w:szCs w:val="32"/>
        </w:rPr>
      </w:pPr>
      <w:r>
        <w:rPr>
          <w:rFonts w:hint="eastAsia" w:ascii="仿宋" w:hAnsi="仿宋" w:eastAsia="仿宋"/>
          <w:sz w:val="32"/>
          <w:szCs w:val="32"/>
        </w:rPr>
        <w:t>本</w:t>
      </w:r>
      <w:r>
        <w:rPr>
          <w:rFonts w:ascii="仿宋" w:hAnsi="仿宋" w:eastAsia="仿宋"/>
          <w:sz w:val="32"/>
          <w:szCs w:val="32"/>
        </w:rPr>
        <w:t>单位无专项资金预算</w:t>
      </w:r>
    </w:p>
    <w:p>
      <w:pPr>
        <w:jc w:val="center"/>
        <w:rPr>
          <w:rFonts w:hAnsi="宋体"/>
        </w:rPr>
      </w:pPr>
      <w:r>
        <w:rPr>
          <w:rFonts w:ascii="方正书宋_GBK" w:eastAsia="方正书宋_GBK"/>
        </w:rPr>
        <w:t xml:space="preserve"> </w:t>
      </w:r>
    </w:p>
    <w:p>
      <w:pPr>
        <w:jc w:val="center"/>
        <w:sectPr>
          <w:pgSz w:w="11907" w:h="16839"/>
          <w:pgMar w:top="1984" w:right="1304" w:bottom="1134" w:left="1304" w:header="851" w:footer="992" w:gutter="0"/>
          <w:cols w:space="425" w:num="1"/>
          <w:docGrid w:type="lines" w:linePitch="312" w:charSpace="0"/>
        </w:sectPr>
      </w:pPr>
    </w:p>
    <w:p>
      <w:pPr>
        <w:jc w:val="center"/>
      </w:pPr>
    </w:p>
    <w:p>
      <w:pPr>
        <w:ind w:firstLine="640" w:firstLineChars="200"/>
        <w:jc w:val="center"/>
        <w:outlineLvl w:val="1"/>
        <w:rPr>
          <w:rFonts w:ascii="方正仿宋_GBK" w:eastAsia="方正仿宋_GBK"/>
          <w:sz w:val="32"/>
          <w:szCs w:val="32"/>
        </w:rPr>
      </w:pPr>
      <w:r>
        <w:rPr>
          <w:rFonts w:hint="eastAsia" w:ascii="方正仿宋_GBK" w:eastAsia="方正仿宋_GBK"/>
          <w:sz w:val="32"/>
          <w:szCs w:val="32"/>
        </w:rPr>
        <w:t>第</w:t>
      </w:r>
      <w:r>
        <w:rPr>
          <w:rFonts w:ascii="方正仿宋_GBK" w:eastAsia="方正仿宋_GBK"/>
          <w:sz w:val="32"/>
          <w:szCs w:val="32"/>
        </w:rPr>
        <w:t>三部分</w:t>
      </w:r>
      <w:r>
        <w:rPr>
          <w:rFonts w:hint="eastAsia" w:ascii="方正仿宋_GBK" w:eastAsia="方正仿宋_GBK"/>
          <w:sz w:val="32"/>
          <w:szCs w:val="32"/>
        </w:rPr>
        <w:t xml:space="preserve"> 预算</w:t>
      </w:r>
      <w:r>
        <w:rPr>
          <w:rFonts w:ascii="方正仿宋_GBK" w:eastAsia="方正仿宋_GBK"/>
          <w:sz w:val="32"/>
          <w:szCs w:val="32"/>
        </w:rPr>
        <w:t>项目绩效</w:t>
      </w:r>
      <w:r>
        <w:rPr>
          <w:rFonts w:hint="eastAsia" w:ascii="方正仿宋_GBK" w:eastAsia="方正仿宋_GBK"/>
          <w:sz w:val="32"/>
          <w:szCs w:val="32"/>
        </w:rPr>
        <w:t>目标</w:t>
      </w:r>
    </w:p>
    <w:p>
      <w:pPr>
        <w:ind w:firstLine="883" w:firstLineChars="200"/>
        <w:jc w:val="center"/>
        <w:outlineLvl w:val="1"/>
        <w:rPr>
          <w:rFonts w:hint="eastAsia" w:ascii="方正仿宋_GBK" w:eastAsia="方正仿宋_GBK"/>
          <w:b/>
          <w:sz w:val="44"/>
          <w:szCs w:val="44"/>
        </w:rPr>
      </w:pPr>
    </w:p>
    <w:p>
      <w:pPr>
        <w:ind w:firstLine="562" w:firstLineChars="200"/>
        <w:jc w:val="left"/>
        <w:outlineLvl w:val="1"/>
        <w:rPr>
          <w:rFonts w:hAnsi="宋体"/>
          <w:b/>
          <w:sz w:val="28"/>
        </w:rPr>
      </w:pPr>
      <w:r>
        <w:rPr>
          <w:rFonts w:hint="eastAsia" w:ascii="方正仿宋_GBK" w:eastAsia="方正仿宋_GBK"/>
          <w:b/>
          <w:sz w:val="28"/>
        </w:rPr>
        <w:t>1、2016年度海关辅助管理系统软件尾款绩效目标表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3" w:name="_Toc29430189"/>
      <w:r>
        <w:rPr>
          <w:rFonts w:hint="eastAsia" w:ascii="方正仿宋_GBK" w:eastAsia="方正仿宋_GBK"/>
          <w:b/>
          <w:sz w:val="28"/>
        </w:rPr>
        <w:instrText xml:space="preserve">1、2016年度海关辅助管理系统软件尾款绩效目标表</w:instrText>
      </w:r>
      <w:bookmarkEnd w:id="3"/>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779002</w:t>
            </w:r>
            <w:r>
              <w:rPr>
                <w:rFonts w:hint="eastAsia" w:ascii="方正书宋_GBK" w:eastAsia="方正书宋_GBK"/>
                <w:b/>
              </w:rPr>
              <w:t>秦皇岛出口加工区管理委员会</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2"/>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、保证加工区按照海关要求完成辅助管理系统软件的布置；保证区内企业正常使用辅助平台报关等。</w:t>
            </w:r>
          </w:p>
        </w:tc>
      </w:tr>
    </w:tbl>
    <w:p>
      <w:pPr>
        <w:spacing w:line="14" w:lineRule="exact"/>
        <w:ind w:firstLine="420" w:firstLineChars="200"/>
        <w:jc w:val="center"/>
        <w:rPr>
          <w:rFonts w:hAnsi="宋体"/>
        </w:rPr>
      </w:pPr>
      <w:r>
        <w:rPr>
          <w:rFonts w:ascii="方正书宋_GBK" w:eastAsia="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企业应用比例</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区内企业使用该软件率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正使用天数</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企业正常使用软件天数</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企业良好发展</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为企业正常良好发展提供保障</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进一步提高</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报关比例</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区内企业正常报送比例</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促进加工区经济发展</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促进加工区经济发展提升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进一步提升</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区内企业满意度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区内企业满意度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jc w:val="left"/>
        <w:rPr>
          <w:rFonts w:hint="eastAsia"/>
        </w:rPr>
        <w:sectPr>
          <w:pgSz w:w="11907" w:h="16839"/>
          <w:pgMar w:top="1984" w:right="1304" w:bottom="1134" w:left="1304" w:header="851" w:footer="992" w:gutter="0"/>
          <w:cols w:space="425" w:num="1"/>
          <w:docGrid w:type="lines" w:linePitch="312" w:charSpace="0"/>
        </w:sectPr>
      </w:pPr>
    </w:p>
    <w:p>
      <w:pPr>
        <w:jc w:val="left"/>
        <w:outlineLvl w:val="1"/>
        <w:rPr>
          <w:rFonts w:hAnsi="宋体"/>
          <w:b/>
          <w:sz w:val="28"/>
        </w:rPr>
      </w:pPr>
      <w:r>
        <w:rPr>
          <w:rFonts w:hint="eastAsia" w:ascii="方正仿宋_GBK" w:eastAsia="方正仿宋_GBK"/>
          <w:b/>
          <w:sz w:val="28"/>
        </w:rPr>
        <w:t>2、2019年度二期安保人员劳务费绩效目标表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4" w:name="_Toc29430190"/>
      <w:r>
        <w:rPr>
          <w:rFonts w:hint="eastAsia" w:ascii="方正仿宋_GBK" w:eastAsia="方正仿宋_GBK"/>
          <w:b/>
          <w:sz w:val="28"/>
        </w:rPr>
        <w:instrText xml:space="preserve">2、2019年度二期安保人员劳务费绩效目标表</w:instrText>
      </w:r>
      <w:bookmarkEnd w:id="4"/>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779002</w:t>
            </w:r>
            <w:r>
              <w:rPr>
                <w:rFonts w:hint="eastAsia" w:ascii="方正书宋_GBK" w:eastAsia="方正书宋_GBK"/>
                <w:b/>
              </w:rPr>
              <w:t>秦皇岛出口加工区管理委员会</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2"/>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、确保二期卡口和区内安保工作正常开展，以保证二期顺利封关。</w:t>
            </w:r>
          </w:p>
        </w:tc>
      </w:tr>
    </w:tbl>
    <w:p>
      <w:pPr>
        <w:spacing w:line="14" w:lineRule="exact"/>
        <w:ind w:firstLine="420" w:firstLineChars="200"/>
        <w:jc w:val="center"/>
        <w:rPr>
          <w:rFonts w:hAnsi="宋体"/>
        </w:rPr>
      </w:pPr>
      <w:r>
        <w:rPr>
          <w:rFonts w:ascii="方正书宋_GBK" w:eastAsia="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正常服务天数</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卡口安保人员正常服务天数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115</w:t>
            </w:r>
            <w:r>
              <w:rPr>
                <w:rFonts w:hint="eastAsia" w:ascii="方正书宋_GBK" w:eastAsia="方正书宋_GBK"/>
              </w:rPr>
              <w:t>天</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安全天数</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维护二期卡口安全天数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115</w:t>
            </w:r>
            <w:r>
              <w:rPr>
                <w:rFonts w:hint="eastAsia" w:ascii="方正书宋_GBK" w:eastAsia="方正书宋_GBK"/>
              </w:rPr>
              <w:t>天</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保证加工区正常工作秩序</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保证加工区正常工作秩序</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进一步加强</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为封关工作提供保障</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为二期封关工作提供保障</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进一步加强</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入区人员满意度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jc w:val="left"/>
        <w:rPr>
          <w:rFonts w:hint="eastAsia"/>
        </w:rPr>
        <w:sectPr>
          <w:pgSz w:w="11907" w:h="16839"/>
          <w:pgMar w:top="1984" w:right="1304" w:bottom="1134" w:left="1304" w:header="851" w:footer="992" w:gutter="0"/>
          <w:cols w:space="425" w:num="1"/>
          <w:docGrid w:type="lines" w:linePitch="312" w:charSpace="0"/>
        </w:sectPr>
      </w:pPr>
    </w:p>
    <w:p>
      <w:pPr>
        <w:jc w:val="left"/>
        <w:outlineLvl w:val="1"/>
        <w:rPr>
          <w:rFonts w:hAnsi="宋体"/>
          <w:b/>
          <w:sz w:val="28"/>
        </w:rPr>
      </w:pPr>
      <w:r>
        <w:rPr>
          <w:rFonts w:hint="eastAsia" w:ascii="方正仿宋_GBK" w:eastAsia="方正仿宋_GBK"/>
          <w:b/>
          <w:sz w:val="28"/>
        </w:rPr>
        <w:t>3、2019年度一期物业费绩效目标表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5" w:name="_Toc29430191"/>
      <w:r>
        <w:rPr>
          <w:rFonts w:hint="eastAsia" w:ascii="方正仿宋_GBK" w:eastAsia="方正仿宋_GBK"/>
          <w:b/>
          <w:sz w:val="28"/>
        </w:rPr>
        <w:instrText xml:space="preserve">3、2019年度一期物业费绩效目标表</w:instrText>
      </w:r>
      <w:bookmarkEnd w:id="5"/>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779002</w:t>
            </w:r>
            <w:r>
              <w:rPr>
                <w:rFonts w:hint="eastAsia" w:ascii="方正书宋_GBK" w:eastAsia="方正书宋_GBK"/>
                <w:b/>
              </w:rPr>
              <w:t>秦皇岛出口加工区管理委员会</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2"/>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、保证加工区一期办公楼区域内正常物业服务，优化楼内环境，提高工作质量，保证加工区正常办公。</w:t>
            </w:r>
          </w:p>
        </w:tc>
      </w:tr>
    </w:tbl>
    <w:p>
      <w:pPr>
        <w:spacing w:line="14" w:lineRule="exact"/>
        <w:ind w:firstLine="420" w:firstLineChars="200"/>
        <w:jc w:val="center"/>
        <w:rPr>
          <w:rFonts w:hAnsi="宋体"/>
        </w:rPr>
      </w:pPr>
      <w:r>
        <w:rPr>
          <w:rFonts w:ascii="方正书宋_GBK" w:eastAsia="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天数</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楼内物业正常服务天数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365</w:t>
            </w:r>
            <w:r>
              <w:rPr>
                <w:rFonts w:hint="eastAsia" w:ascii="方正书宋_GBK" w:eastAsia="方正书宋_GBK"/>
              </w:rPr>
              <w:t>天</w:t>
            </w:r>
          </w:p>
          <w:p>
            <w:pPr>
              <w:spacing w:line="300" w:lineRule="exact"/>
              <w:jc w:val="left"/>
              <w:rPr>
                <w:rFonts w:ascii="方正书宋_GBK" w:eastAsia="方正书宋_GBK"/>
              </w:rPr>
            </w:pP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设备运行率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保证设备正常运行</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安全天数</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维护办公区域内安全天数</w:t>
            </w:r>
          </w:p>
        </w:tc>
        <w:tc>
          <w:tcPr>
            <w:tcW w:w="1276" w:type="dxa"/>
            <w:shd w:val="clear" w:color="auto" w:fill="auto"/>
            <w:vAlign w:val="center"/>
          </w:tcPr>
          <w:p>
            <w:pPr>
              <w:spacing w:line="300" w:lineRule="exact"/>
              <w:jc w:val="left"/>
              <w:rPr>
                <w:rFonts w:hint="eastAsia" w:ascii="方正书宋_GBK" w:eastAsia="方正书宋_GBK"/>
              </w:rPr>
            </w:pPr>
            <w:r>
              <w:rPr>
                <w:rFonts w:ascii="方正书宋_GBK" w:eastAsia="方正书宋_GBK"/>
              </w:rPr>
              <w:t>365</w:t>
            </w:r>
            <w:r>
              <w:rPr>
                <w:rFonts w:hint="eastAsia" w:ascii="方正书宋_GBK" w:eastAsia="方正书宋_GBK"/>
              </w:rPr>
              <w:t>天</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形象良好度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提高机关对外良好形象</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365</w:t>
            </w:r>
            <w:r>
              <w:rPr>
                <w:rFonts w:hint="eastAsia" w:ascii="方正书宋_GBK" w:eastAsia="方正书宋_GBK"/>
              </w:rPr>
              <w:t>天</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事故降低率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楼内消防、安保、设备事态有效降低</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楼内工作人员、来访人员满意度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jc w:val="left"/>
        <w:rPr>
          <w:rFonts w:hint="eastAsia"/>
        </w:rPr>
        <w:sectPr>
          <w:pgSz w:w="11907" w:h="16839"/>
          <w:pgMar w:top="1984" w:right="1304" w:bottom="1134" w:left="1304" w:header="851" w:footer="992" w:gutter="0"/>
          <w:cols w:space="425" w:num="1"/>
          <w:docGrid w:type="lines" w:linePitch="312" w:charSpace="0"/>
        </w:sectPr>
      </w:pPr>
    </w:p>
    <w:p>
      <w:pPr>
        <w:jc w:val="left"/>
        <w:outlineLvl w:val="1"/>
        <w:rPr>
          <w:rFonts w:hAnsi="宋体"/>
          <w:b/>
          <w:sz w:val="28"/>
        </w:rPr>
      </w:pPr>
      <w:r>
        <w:rPr>
          <w:rFonts w:hint="eastAsia" w:ascii="方正仿宋_GBK" w:eastAsia="方正仿宋_GBK"/>
          <w:b/>
          <w:sz w:val="28"/>
        </w:rPr>
        <w:t>4、办公楼中央空调系统及分体空调维修维护费绩效目标表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6" w:name="_Toc29430192"/>
      <w:r>
        <w:rPr>
          <w:rFonts w:hint="eastAsia" w:ascii="方正仿宋_GBK" w:eastAsia="方正仿宋_GBK"/>
          <w:b/>
          <w:sz w:val="28"/>
        </w:rPr>
        <w:instrText xml:space="preserve">4、办公楼中央空调系统及分体空调维修维护费绩效目标表</w:instrText>
      </w:r>
      <w:bookmarkEnd w:id="6"/>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779002</w:t>
            </w:r>
            <w:r>
              <w:rPr>
                <w:rFonts w:hint="eastAsia" w:ascii="方正书宋_GBK" w:eastAsia="方正书宋_GBK"/>
                <w:b/>
              </w:rPr>
              <w:t>秦皇岛出口加工区管理委员会</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2"/>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、加强楼内空调系统、设备设施运行管理，确保处于良好运行状态，保障正常的工作运转，实现楼内办公人员满意率达到</w:t>
            </w:r>
            <w:r>
              <w:rPr>
                <w:rFonts w:ascii="方正书宋_GBK" w:eastAsia="方正书宋_GBK"/>
              </w:rPr>
              <w:t>95%</w:t>
            </w:r>
            <w:r>
              <w:rPr>
                <w:rFonts w:hint="eastAsia" w:ascii="方正书宋_GBK" w:eastAsia="方正书宋_GBK"/>
              </w:rPr>
              <w:t>以上；保障会议室、食堂等的分体空调的正常使用。</w:t>
            </w:r>
          </w:p>
        </w:tc>
      </w:tr>
    </w:tbl>
    <w:p>
      <w:pPr>
        <w:spacing w:line="14" w:lineRule="exact"/>
        <w:ind w:firstLine="420" w:firstLineChars="200"/>
        <w:jc w:val="center"/>
        <w:rPr>
          <w:rFonts w:hAnsi="宋体"/>
        </w:rPr>
      </w:pPr>
      <w:r>
        <w:rPr>
          <w:rFonts w:ascii="方正书宋_GBK" w:eastAsia="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运行良好天数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 xml:space="preserve"> </w:t>
            </w:r>
            <w:r>
              <w:rPr>
                <w:rFonts w:hint="eastAsia" w:ascii="方正书宋_GBK" w:eastAsia="方正书宋_GBK"/>
              </w:rPr>
              <w:t>楼内空调系统设备运行良好天数</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设备尽修率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楼内空调系统设备尽修率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完工验收时间</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维修维护项目完工验收时间</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按合同约定完成</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优良率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楼内温度优良率</w:t>
            </w:r>
          </w:p>
        </w:tc>
        <w:tc>
          <w:tcPr>
            <w:tcW w:w="1276" w:type="dxa"/>
            <w:shd w:val="clear" w:color="auto" w:fill="auto"/>
            <w:vAlign w:val="center"/>
          </w:tcPr>
          <w:p>
            <w:pPr>
              <w:spacing w:line="300" w:lineRule="exact"/>
              <w:jc w:val="left"/>
              <w:rPr>
                <w:rFonts w:hint="eastAsia" w:ascii="方正书宋_GBK" w:eastAsia="方正书宋_GBK"/>
              </w:rPr>
            </w:pPr>
            <w:r>
              <w:rPr>
                <w:rFonts w:ascii="方正书宋_GBK" w:eastAsia="方正书宋_GBK"/>
              </w:rPr>
              <w:t>24</w:t>
            </w:r>
            <w:r>
              <w:rPr>
                <w:rFonts w:hint="eastAsia" w:ascii="方正书宋_GBK" w:eastAsia="方正书宋_GBK"/>
              </w:rPr>
              <w:t>摄氏度</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延设备使用年限</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延设备使用年限，持续发挥作用</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进一步提高</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故障下降率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安全故障下降率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群众对空调使用的满意度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jc w:val="left"/>
        <w:rPr>
          <w:rFonts w:hint="eastAsia"/>
        </w:rPr>
        <w:sectPr>
          <w:pgSz w:w="11907" w:h="16839"/>
          <w:pgMar w:top="1984" w:right="1304" w:bottom="1134" w:left="1304" w:header="851" w:footer="992" w:gutter="0"/>
          <w:cols w:space="425" w:num="1"/>
          <w:docGrid w:type="lines" w:linePitch="312" w:charSpace="0"/>
        </w:sectPr>
      </w:pPr>
    </w:p>
    <w:p>
      <w:pPr>
        <w:jc w:val="left"/>
        <w:outlineLvl w:val="1"/>
        <w:rPr>
          <w:rFonts w:hAnsi="宋体"/>
          <w:b/>
          <w:sz w:val="28"/>
        </w:rPr>
      </w:pPr>
      <w:r>
        <w:rPr>
          <w:rFonts w:hint="eastAsia" w:ascii="方正仿宋_GBK" w:eastAsia="方正仿宋_GBK"/>
          <w:b/>
          <w:sz w:val="28"/>
        </w:rPr>
        <w:t>5、二期卡口配套设施电费绩效目标表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7" w:name="_Toc29430193"/>
      <w:r>
        <w:rPr>
          <w:rFonts w:hint="eastAsia" w:ascii="方正仿宋_GBK" w:eastAsia="方正仿宋_GBK"/>
          <w:b/>
          <w:sz w:val="28"/>
        </w:rPr>
        <w:instrText xml:space="preserve">5、二期卡口配套设施电费绩效目标表</w:instrText>
      </w:r>
      <w:bookmarkEnd w:id="7"/>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779002</w:t>
            </w:r>
            <w:r>
              <w:rPr>
                <w:rFonts w:hint="eastAsia" w:ascii="方正书宋_GBK" w:eastAsia="方正书宋_GBK"/>
                <w:b/>
              </w:rPr>
              <w:t>秦皇岛出口加工区管理委员会</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2"/>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、保证二期办公楼、卡口及配套设施正常用电，确保加工区顺利升级综保区和升级后的正常办公需要。</w:t>
            </w:r>
          </w:p>
        </w:tc>
      </w:tr>
    </w:tbl>
    <w:p>
      <w:pPr>
        <w:spacing w:line="14" w:lineRule="exact"/>
        <w:ind w:firstLine="420" w:firstLineChars="200"/>
        <w:jc w:val="center"/>
        <w:rPr>
          <w:rFonts w:hAnsi="宋体"/>
        </w:rPr>
      </w:pPr>
      <w:r>
        <w:rPr>
          <w:rFonts w:ascii="方正书宋_GBK" w:eastAsia="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正常用电天数</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保证二期区内正常用电天数</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缴纳电费及时度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在规定时间内缴纳电费</w:t>
            </w:r>
          </w:p>
        </w:tc>
        <w:tc>
          <w:tcPr>
            <w:tcW w:w="1276" w:type="dxa"/>
            <w:shd w:val="clear" w:color="auto" w:fill="auto"/>
            <w:vAlign w:val="center"/>
          </w:tcPr>
          <w:p>
            <w:pPr>
              <w:spacing w:line="300" w:lineRule="exact"/>
              <w:jc w:val="left"/>
              <w:rPr>
                <w:rFonts w:hint="eastAsia" w:ascii="方正书宋_GBK" w:eastAsia="方正书宋_GBK"/>
              </w:rPr>
            </w:pPr>
            <w:r>
              <w:rPr>
                <w:rFonts w:ascii="方正书宋_GBK" w:eastAsia="方正书宋_GBK"/>
              </w:rPr>
              <w:t>100</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保障发展</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保障加工区高质量发展</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进一步保障</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保障二期工作顺利进行</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保障二期各项工作顺利进行</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进一步保障</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区内办公人员满意度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jc w:val="left"/>
        <w:rPr>
          <w:rFonts w:hint="eastAsia"/>
        </w:rPr>
        <w:sectPr>
          <w:pgSz w:w="11907" w:h="16839"/>
          <w:pgMar w:top="1984" w:right="1304" w:bottom="1134" w:left="1304" w:header="851" w:footer="992" w:gutter="0"/>
          <w:cols w:space="425" w:num="1"/>
          <w:docGrid w:type="lines" w:linePitch="312" w:charSpace="0"/>
        </w:sectPr>
      </w:pPr>
    </w:p>
    <w:p>
      <w:pPr>
        <w:jc w:val="left"/>
        <w:outlineLvl w:val="1"/>
        <w:rPr>
          <w:rFonts w:hAnsi="宋体"/>
          <w:b/>
          <w:sz w:val="28"/>
        </w:rPr>
      </w:pPr>
      <w:r>
        <w:rPr>
          <w:rFonts w:hint="eastAsia" w:ascii="方正仿宋_GBK" w:eastAsia="方正仿宋_GBK"/>
          <w:b/>
          <w:sz w:val="28"/>
        </w:rPr>
        <w:t>6、管委楼内日常维修费用绩效目标表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8" w:name="_Toc29430194"/>
      <w:r>
        <w:rPr>
          <w:rFonts w:hint="eastAsia" w:ascii="方正仿宋_GBK" w:eastAsia="方正仿宋_GBK"/>
          <w:b/>
          <w:sz w:val="28"/>
        </w:rPr>
        <w:instrText xml:space="preserve">6、管委楼内日常维修费用绩效目标表</w:instrText>
      </w:r>
      <w:bookmarkEnd w:id="8"/>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779002</w:t>
            </w:r>
            <w:r>
              <w:rPr>
                <w:rFonts w:hint="eastAsia" w:ascii="方正书宋_GBK" w:eastAsia="方正书宋_GBK"/>
                <w:b/>
              </w:rPr>
              <w:t>秦皇岛出口加工区管理委员会</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2"/>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、保证大楼内各项公共设施设备正常使用；保证管委各项办公设备正常使用。</w:t>
            </w:r>
          </w:p>
        </w:tc>
      </w:tr>
    </w:tbl>
    <w:p>
      <w:pPr>
        <w:spacing w:line="14" w:lineRule="exact"/>
        <w:ind w:firstLine="420" w:firstLineChars="200"/>
        <w:jc w:val="center"/>
        <w:rPr>
          <w:rFonts w:hAnsi="宋体"/>
        </w:rPr>
      </w:pPr>
      <w:r>
        <w:rPr>
          <w:rFonts w:ascii="方正书宋_GBK" w:eastAsia="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尽修率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 xml:space="preserve"> </w:t>
            </w:r>
            <w:r>
              <w:rPr>
                <w:rFonts w:hint="eastAsia" w:ascii="方正书宋_GBK" w:eastAsia="方正书宋_GBK"/>
              </w:rPr>
              <w:t>维修项目应修尽修率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维修完成及时率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实施维修和完成及时率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在约定时间内完成</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保证大楼正常使用</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保证大楼内各项设施正常使用</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提供良好后勤服务</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为办公楼内各工作单位提供良好的后勤服务</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进一步提高</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人员满意度</w:t>
            </w:r>
            <w:r>
              <w:rPr>
                <w:rFonts w:ascii="方正书宋_GBK" w:eastAsia="方正书宋_GBK"/>
              </w:rPr>
              <w:t xml:space="preserve"> </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楼内工作单位设备使用人员满意度</w:t>
            </w:r>
          </w:p>
        </w:tc>
        <w:tc>
          <w:tcPr>
            <w:tcW w:w="1276" w:type="dxa"/>
            <w:shd w:val="clear" w:color="auto" w:fill="auto"/>
            <w:vAlign w:val="center"/>
          </w:tcPr>
          <w:p>
            <w:pPr>
              <w:spacing w:line="300" w:lineRule="exact"/>
              <w:jc w:val="left"/>
              <w:rPr>
                <w:rFonts w:hint="eastAsia" w:ascii="方正书宋_GBK" w:eastAsia="方正书宋_GBK"/>
              </w:rPr>
            </w:pPr>
            <w:r>
              <w:rPr>
                <w:rFonts w:ascii="方正书宋_GBK" w:eastAsia="方正书宋_GBK"/>
              </w:rPr>
              <w:t>100</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jc w:val="left"/>
        <w:outlineLvl w:val="1"/>
        <w:rPr>
          <w:rFonts w:hAnsi="宋体"/>
          <w:b/>
          <w:sz w:val="28"/>
        </w:rPr>
      </w:pPr>
      <w:r>
        <w:rPr>
          <w:rFonts w:hint="eastAsia" w:ascii="方正仿宋_GBK" w:eastAsia="方正仿宋_GBK"/>
          <w:b/>
          <w:sz w:val="28"/>
        </w:rPr>
        <w:t>7、广场国旗购置及旗杆电机维修费绩效目标表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9" w:name="_Toc29430195"/>
      <w:r>
        <w:rPr>
          <w:rFonts w:hint="eastAsia" w:ascii="方正仿宋_GBK" w:eastAsia="方正仿宋_GBK"/>
          <w:b/>
          <w:sz w:val="28"/>
        </w:rPr>
        <w:instrText xml:space="preserve">7、广场国旗购置及旗杆电机维修费绩效目标表</w:instrText>
      </w:r>
      <w:bookmarkEnd w:id="9"/>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779002</w:t>
            </w:r>
            <w:r>
              <w:rPr>
                <w:rFonts w:hint="eastAsia" w:ascii="方正书宋_GBK" w:eastAsia="方正书宋_GBK"/>
                <w:b/>
              </w:rPr>
              <w:t>秦皇岛出口加工区管理委员会</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2"/>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、保证广场</w:t>
            </w:r>
            <w:r>
              <w:rPr>
                <w:rFonts w:ascii="方正书宋_GBK" w:eastAsia="方正书宋_GBK"/>
              </w:rPr>
              <w:t>20</w:t>
            </w:r>
            <w:r>
              <w:rPr>
                <w:rFonts w:hint="eastAsia" w:ascii="方正书宋_GBK" w:eastAsia="方正书宋_GBK"/>
              </w:rPr>
              <w:t>个电动旗杆正常升降，维护机关良好形象；保证国旗正常悬挂。</w:t>
            </w:r>
          </w:p>
        </w:tc>
      </w:tr>
    </w:tbl>
    <w:p>
      <w:pPr>
        <w:spacing w:line="14" w:lineRule="exact"/>
        <w:ind w:firstLine="420" w:firstLineChars="200"/>
        <w:jc w:val="center"/>
        <w:rPr>
          <w:rFonts w:hAnsi="宋体"/>
        </w:rPr>
      </w:pPr>
      <w:r>
        <w:rPr>
          <w:rFonts w:ascii="方正书宋_GBK" w:eastAsia="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运行天数</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设备良好运行天数</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电机台数</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电机设备维修数量</w:t>
            </w:r>
          </w:p>
        </w:tc>
        <w:tc>
          <w:tcPr>
            <w:tcW w:w="1276" w:type="dxa"/>
            <w:shd w:val="clear" w:color="auto" w:fill="auto"/>
            <w:vAlign w:val="center"/>
          </w:tcPr>
          <w:p>
            <w:pPr>
              <w:spacing w:line="300" w:lineRule="exact"/>
              <w:jc w:val="left"/>
              <w:rPr>
                <w:rFonts w:hint="eastAsia" w:ascii="方正书宋_GBK" w:eastAsia="方正书宋_GBK"/>
              </w:rPr>
            </w:pPr>
            <w:r>
              <w:rPr>
                <w:rFonts w:ascii="方正书宋_GBK" w:eastAsia="方正书宋_GBK"/>
              </w:rPr>
              <w:t>3</w:t>
            </w:r>
            <w:r>
              <w:rPr>
                <w:rFonts w:hint="eastAsia" w:ascii="方正书宋_GBK" w:eastAsia="方正书宋_GBK"/>
              </w:rPr>
              <w:t>台</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正常率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国旗正常升降率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验收合格率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电机维修验收合格率</w:t>
            </w:r>
          </w:p>
        </w:tc>
        <w:tc>
          <w:tcPr>
            <w:tcW w:w="1276" w:type="dxa"/>
            <w:shd w:val="clear" w:color="auto" w:fill="auto"/>
            <w:vAlign w:val="center"/>
          </w:tcPr>
          <w:p>
            <w:pPr>
              <w:spacing w:line="300" w:lineRule="exact"/>
              <w:jc w:val="left"/>
              <w:rPr>
                <w:rFonts w:hint="eastAsia" w:ascii="方正书宋_GBK" w:eastAsia="方正书宋_GBK"/>
              </w:rPr>
            </w:pPr>
            <w:r>
              <w:rPr>
                <w:rFonts w:ascii="方正书宋_GBK" w:eastAsia="方正书宋_GBK"/>
              </w:rPr>
              <w:t>100</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生态效益指标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事故降低率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安全事故降低率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设备故障率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设备故障率降低</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群众满意度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jc w:val="left"/>
        <w:outlineLvl w:val="1"/>
        <w:rPr>
          <w:rFonts w:hAnsi="宋体"/>
          <w:b/>
          <w:sz w:val="28"/>
        </w:rPr>
      </w:pPr>
      <w:r>
        <w:rPr>
          <w:rFonts w:hint="eastAsia" w:ascii="方正仿宋_GBK" w:eastAsia="方正仿宋_GBK"/>
          <w:b/>
          <w:sz w:val="28"/>
        </w:rPr>
        <w:t>8、海关监管系统、辅助平台软硬件维护费绩效目标表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0" w:name="_Toc29430196"/>
      <w:r>
        <w:rPr>
          <w:rFonts w:hint="eastAsia" w:ascii="方正仿宋_GBK" w:eastAsia="方正仿宋_GBK"/>
          <w:b/>
          <w:sz w:val="28"/>
        </w:rPr>
        <w:instrText xml:space="preserve">8、海关监管系统、辅助平台软硬件维护费绩效目标表</w:instrText>
      </w:r>
      <w:bookmarkEnd w:id="10"/>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779002</w:t>
            </w:r>
            <w:r>
              <w:rPr>
                <w:rFonts w:hint="eastAsia" w:ascii="方正书宋_GBK" w:eastAsia="方正书宋_GBK"/>
                <w:b/>
              </w:rPr>
              <w:t>秦皇岛出口加工区管理委员会</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2"/>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、保证区内海关对加工区的正常监控；保证辅助平台软、硬件系统正常工作、升级，确保海关对加工区的正常监管，保障区内企业正常报关报检，办理业务；保证加工区络安全正常；</w:t>
            </w:r>
          </w:p>
        </w:tc>
      </w:tr>
    </w:tbl>
    <w:p>
      <w:pPr>
        <w:spacing w:line="14" w:lineRule="exact"/>
        <w:ind w:firstLine="420" w:firstLineChars="200"/>
        <w:jc w:val="center"/>
        <w:rPr>
          <w:rFonts w:hAnsi="宋体"/>
        </w:rPr>
      </w:pPr>
      <w:r>
        <w:rPr>
          <w:rFonts w:ascii="方正书宋_GBK" w:eastAsia="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正常运行天数</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保证辅助平台正常运行天数</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保证天数</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保证加工区办公网络安全运行天数</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区内企业正常报关</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保障区内企业正常报关</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提供保障</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为二期封关及整合升级综保区提供保障</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进一步提供保障</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对企业正常监管</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保证海关对企业进行正常监管</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进一步提高</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区内企业满意度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区内企业满意度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jc w:val="left"/>
        <w:outlineLvl w:val="1"/>
        <w:rPr>
          <w:rFonts w:hAnsi="宋体"/>
          <w:b/>
          <w:sz w:val="28"/>
        </w:rPr>
      </w:pPr>
      <w:r>
        <w:rPr>
          <w:rFonts w:hint="eastAsia" w:ascii="方正仿宋_GBK" w:eastAsia="方正仿宋_GBK"/>
          <w:b/>
          <w:sz w:val="28"/>
        </w:rPr>
        <w:t>9、加工区会议费绩效目标表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1" w:name="_Toc29430197"/>
      <w:r>
        <w:rPr>
          <w:rFonts w:hint="eastAsia" w:ascii="方正仿宋_GBK" w:eastAsia="方正仿宋_GBK"/>
          <w:b/>
          <w:sz w:val="28"/>
        </w:rPr>
        <w:instrText xml:space="preserve">9、加工区会议费绩效目标表</w:instrText>
      </w:r>
      <w:bookmarkEnd w:id="11"/>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779002</w:t>
            </w:r>
            <w:r>
              <w:rPr>
                <w:rFonts w:hint="eastAsia" w:ascii="方正书宋_GBK" w:eastAsia="方正书宋_GBK"/>
                <w:b/>
              </w:rPr>
              <w:t>秦皇岛出口加工区管理委员会</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2"/>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、通过参加会议及时了解国家最新政策；参加两区协会相关会议，保证同协会的正常工作联系；召开区内企业会议，及时传达国家政策。</w:t>
            </w:r>
          </w:p>
        </w:tc>
      </w:tr>
    </w:tbl>
    <w:p>
      <w:pPr>
        <w:spacing w:line="14" w:lineRule="exact"/>
        <w:ind w:firstLine="420" w:firstLineChars="200"/>
        <w:jc w:val="center"/>
        <w:rPr>
          <w:rFonts w:hAnsi="宋体"/>
        </w:rPr>
      </w:pPr>
      <w:r>
        <w:rPr>
          <w:rFonts w:ascii="方正书宋_GBK" w:eastAsia="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次数</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参加或举办会议次数</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次</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次数</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会议按计划正常参加或举行次数</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2</w:t>
            </w:r>
            <w:r>
              <w:rPr>
                <w:rFonts w:hint="eastAsia" w:ascii="方正书宋_GBK" w:eastAsia="方正书宋_GBK"/>
              </w:rPr>
              <w:t>次</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及时率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会议举行及时率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及时率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参会人员对最新政策掌控及时率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密切度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与两区协会联系密切度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进一步提高</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良好发展情况</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帮助企业及时掌握政策，良好发展</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进一步提高</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参会人员或企业满意度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jc w:val="left"/>
        <w:outlineLvl w:val="1"/>
        <w:rPr>
          <w:rFonts w:hAnsi="宋体"/>
          <w:b/>
          <w:sz w:val="28"/>
        </w:rPr>
      </w:pPr>
      <w:r>
        <w:rPr>
          <w:rFonts w:hint="eastAsia" w:ascii="方正仿宋_GBK" w:eastAsia="方正仿宋_GBK"/>
          <w:b/>
          <w:sz w:val="28"/>
        </w:rPr>
        <w:t>10、加工区年鉴编辑订阅费绩效目标表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2" w:name="_Toc29430198"/>
      <w:r>
        <w:rPr>
          <w:rFonts w:hint="eastAsia" w:ascii="方正仿宋_GBK" w:eastAsia="方正仿宋_GBK"/>
          <w:b/>
          <w:sz w:val="28"/>
        </w:rPr>
        <w:instrText xml:space="preserve">10、加工区年鉴编辑订阅费绩效目标表</w:instrText>
      </w:r>
      <w:bookmarkEnd w:id="12"/>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779002</w:t>
            </w:r>
            <w:r>
              <w:rPr>
                <w:rFonts w:hint="eastAsia" w:ascii="方正书宋_GBK" w:eastAsia="方正书宋_GBK"/>
                <w:b/>
              </w:rPr>
              <w:t>秦皇岛出口加工区管理委员会</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2"/>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、在两区协会年鉴上进行宣传，提高秦皇岛加工区知名度</w:t>
            </w:r>
          </w:p>
        </w:tc>
      </w:tr>
    </w:tbl>
    <w:p>
      <w:pPr>
        <w:spacing w:line="14" w:lineRule="exact"/>
        <w:ind w:firstLine="420" w:firstLineChars="200"/>
        <w:jc w:val="center"/>
        <w:rPr>
          <w:rFonts w:hAnsi="宋体"/>
        </w:rPr>
      </w:pPr>
      <w:r>
        <w:rPr>
          <w:rFonts w:ascii="方正书宋_GBK" w:eastAsia="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持续性</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持续在两区协会年鉴上进行宣传</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w:t>
            </w:r>
            <w:r>
              <w:rPr>
                <w:rFonts w:hint="eastAsia" w:ascii="方正书宋_GBK" w:eastAsia="方正书宋_GBK"/>
              </w:rPr>
              <w:t>年</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宣传及时率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在两区协会年鉴上进行及时有效的宣传</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促进招商</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促进加工区招商工作进行程度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进一步促进</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提高知名度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提高秦皇岛加工区知名度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进一步提高</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使者满意度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年鉴使用者满意度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jc w:val="left"/>
        <w:rPr>
          <w:rFonts w:hint="eastAsia"/>
        </w:rPr>
        <w:sectPr>
          <w:pgSz w:w="11907" w:h="16839"/>
          <w:pgMar w:top="1984" w:right="1304" w:bottom="1134" w:left="1304" w:header="851" w:footer="992" w:gutter="0"/>
          <w:cols w:space="425" w:num="1"/>
          <w:docGrid w:type="lines" w:linePitch="312" w:charSpace="0"/>
        </w:sectPr>
      </w:pPr>
    </w:p>
    <w:p>
      <w:pPr>
        <w:jc w:val="left"/>
        <w:outlineLvl w:val="1"/>
        <w:rPr>
          <w:rFonts w:hAnsi="宋体"/>
          <w:b/>
          <w:sz w:val="28"/>
        </w:rPr>
      </w:pPr>
      <w:r>
        <w:rPr>
          <w:rFonts w:hint="eastAsia" w:ascii="方正仿宋_GBK" w:eastAsia="方正仿宋_GBK"/>
          <w:b/>
          <w:sz w:val="28"/>
        </w:rPr>
        <w:t>11、加工区物业管理费绩效目标表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3" w:name="_Toc29430199"/>
      <w:r>
        <w:rPr>
          <w:rFonts w:hint="eastAsia" w:ascii="方正仿宋_GBK" w:eastAsia="方正仿宋_GBK"/>
          <w:b/>
          <w:sz w:val="28"/>
        </w:rPr>
        <w:instrText xml:space="preserve">11、加工区物业管理费绩效目标表</w:instrText>
      </w:r>
      <w:bookmarkEnd w:id="13"/>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779002</w:t>
            </w:r>
            <w:r>
              <w:rPr>
                <w:rFonts w:hint="eastAsia" w:ascii="方正书宋_GBK" w:eastAsia="方正书宋_GBK"/>
                <w:b/>
              </w:rPr>
              <w:t>秦皇岛出口加工区管理委员会</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2"/>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、保证加工区一期二期办公楼区域内正常物业服务，优化楼内环境，提高工作质量，保证加工区正常办公。</w:t>
            </w:r>
          </w:p>
        </w:tc>
      </w:tr>
    </w:tbl>
    <w:p>
      <w:pPr>
        <w:spacing w:line="14" w:lineRule="exact"/>
        <w:ind w:firstLine="420" w:firstLineChars="200"/>
        <w:jc w:val="center"/>
        <w:rPr>
          <w:rFonts w:hAnsi="宋体"/>
        </w:rPr>
      </w:pPr>
      <w:r>
        <w:rPr>
          <w:rFonts w:ascii="方正书宋_GBK" w:eastAsia="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正常服务天数</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楼内物业正常服务天数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365</w:t>
            </w:r>
            <w:r>
              <w:rPr>
                <w:rFonts w:hint="eastAsia" w:ascii="方正书宋_GBK" w:eastAsia="方正书宋_GBK"/>
              </w:rPr>
              <w:t>天</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设备运行率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保证设备正常运行率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安全天数</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维护办公楼内安全天数</w:t>
            </w:r>
          </w:p>
        </w:tc>
        <w:tc>
          <w:tcPr>
            <w:tcW w:w="1276" w:type="dxa"/>
            <w:shd w:val="clear" w:color="auto" w:fill="auto"/>
            <w:vAlign w:val="center"/>
          </w:tcPr>
          <w:p>
            <w:pPr>
              <w:spacing w:line="300" w:lineRule="exact"/>
              <w:jc w:val="left"/>
              <w:rPr>
                <w:rFonts w:hint="eastAsia" w:ascii="方正书宋_GBK" w:eastAsia="方正书宋_GBK"/>
              </w:rPr>
            </w:pPr>
            <w:r>
              <w:rPr>
                <w:rFonts w:ascii="方正书宋_GBK" w:eastAsia="方正书宋_GBK"/>
              </w:rPr>
              <w:t>365</w:t>
            </w:r>
            <w:r>
              <w:rPr>
                <w:rFonts w:hint="eastAsia" w:ascii="方正书宋_GBK" w:eastAsia="方正书宋_GBK"/>
              </w:rPr>
              <w:t>天</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楼内整洁率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保证楼内各区域卫生整洁达标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365</w:t>
            </w:r>
            <w:r>
              <w:rPr>
                <w:rFonts w:hint="eastAsia" w:ascii="方正书宋_GBK" w:eastAsia="方正书宋_GBK"/>
              </w:rPr>
              <w:t>天</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形象良好度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提高机关对外良好形象</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365</w:t>
            </w:r>
            <w:r>
              <w:rPr>
                <w:rFonts w:hint="eastAsia" w:ascii="方正书宋_GBK" w:eastAsia="方正书宋_GBK"/>
              </w:rPr>
              <w:t>天</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事故降低率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楼内消防、安保、设备事故有效降低</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保证楼内工作人员、群众满意度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90</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jc w:val="left"/>
        <w:outlineLvl w:val="1"/>
        <w:rPr>
          <w:rFonts w:hAnsi="宋体"/>
          <w:b/>
          <w:sz w:val="28"/>
        </w:rPr>
      </w:pPr>
      <w:r>
        <w:rPr>
          <w:rFonts w:hint="eastAsia" w:ascii="方正仿宋_GBK" w:eastAsia="方正仿宋_GBK"/>
          <w:b/>
          <w:sz w:val="28"/>
        </w:rPr>
        <w:t>12、见习岗工资绩效目标表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4" w:name="_Toc29430200"/>
      <w:r>
        <w:rPr>
          <w:rFonts w:hint="eastAsia" w:ascii="方正仿宋_GBK" w:eastAsia="方正仿宋_GBK"/>
          <w:b/>
          <w:sz w:val="28"/>
        </w:rPr>
        <w:instrText xml:space="preserve">12、见习岗工资绩效目标表</w:instrText>
      </w:r>
      <w:bookmarkEnd w:id="14"/>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779002</w:t>
            </w:r>
            <w:r>
              <w:rPr>
                <w:rFonts w:hint="eastAsia" w:ascii="方正书宋_GBK" w:eastAsia="方正书宋_GBK"/>
                <w:b/>
              </w:rPr>
              <w:t>秦皇岛出口加工区管理委员会</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2"/>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、保障见习岗人员工资正常发放；按照规定为见习岗人员购买保险。</w:t>
            </w:r>
          </w:p>
        </w:tc>
      </w:tr>
    </w:tbl>
    <w:p>
      <w:pPr>
        <w:spacing w:line="14" w:lineRule="exact"/>
        <w:ind w:firstLine="420" w:firstLineChars="200"/>
        <w:jc w:val="center"/>
        <w:rPr>
          <w:rFonts w:hAnsi="宋体"/>
        </w:rPr>
      </w:pPr>
      <w:r>
        <w:rPr>
          <w:rFonts w:ascii="方正书宋_GBK" w:eastAsia="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人数</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领用见习岗工资人数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人</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月数</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正常发放见习岗工资月数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12</w:t>
            </w:r>
            <w:r>
              <w:rPr>
                <w:rFonts w:hint="eastAsia" w:ascii="方正书宋_GBK" w:eastAsia="方正书宋_GBK"/>
              </w:rPr>
              <w:t>月</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及时率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见习岗人员工资发放及保障购买及时率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保证工作正常开展</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保证加工区工作正常开展</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进一步增强</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促进就业</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促进社会人员就业</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进一步促进</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见习岗人员满意度</w:t>
            </w:r>
          </w:p>
        </w:tc>
        <w:tc>
          <w:tcPr>
            <w:tcW w:w="1276" w:type="dxa"/>
            <w:shd w:val="clear" w:color="auto" w:fill="auto"/>
            <w:vAlign w:val="center"/>
          </w:tcPr>
          <w:p>
            <w:pPr>
              <w:spacing w:line="300" w:lineRule="exact"/>
              <w:jc w:val="left"/>
              <w:rPr>
                <w:rFonts w:hint="eastAsia" w:ascii="方正书宋_GBK" w:eastAsia="方正书宋_GBK"/>
              </w:rPr>
            </w:pPr>
            <w:r>
              <w:rPr>
                <w:rFonts w:ascii="方正书宋_GBK" w:eastAsia="方正书宋_GBK"/>
              </w:rPr>
              <w:t>100</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jc w:val="left"/>
        <w:outlineLvl w:val="1"/>
        <w:rPr>
          <w:rFonts w:hAnsi="宋体"/>
          <w:b/>
          <w:sz w:val="28"/>
        </w:rPr>
      </w:pPr>
      <w:r>
        <w:rPr>
          <w:rFonts w:hint="eastAsia" w:ascii="方正仿宋_GBK" w:eastAsia="方正仿宋_GBK"/>
          <w:b/>
          <w:sz w:val="28"/>
        </w:rPr>
        <w:t>13、两区协会会费绩效目标表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5" w:name="_Toc29430201"/>
      <w:r>
        <w:rPr>
          <w:rFonts w:hint="eastAsia" w:ascii="方正仿宋_GBK" w:eastAsia="方正仿宋_GBK"/>
          <w:b/>
          <w:sz w:val="28"/>
        </w:rPr>
        <w:instrText xml:space="preserve">13、两区协会会费绩效目标表</w:instrText>
      </w:r>
      <w:bookmarkEnd w:id="15"/>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779002</w:t>
            </w:r>
            <w:r>
              <w:rPr>
                <w:rFonts w:hint="eastAsia" w:ascii="方正书宋_GBK" w:eastAsia="方正书宋_GBK"/>
                <w:b/>
              </w:rPr>
              <w:t>秦皇岛出口加工区管理委员会</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2"/>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、按时缴纳两区协会会费，保证和协会之间的良好关系，帮助加工区发展。</w:t>
            </w:r>
          </w:p>
        </w:tc>
      </w:tr>
    </w:tbl>
    <w:p>
      <w:pPr>
        <w:spacing w:line="14" w:lineRule="exact"/>
        <w:ind w:firstLine="420" w:firstLineChars="200"/>
        <w:jc w:val="center"/>
        <w:rPr>
          <w:rFonts w:hAnsi="宋体"/>
        </w:rPr>
      </w:pPr>
      <w:r>
        <w:rPr>
          <w:rFonts w:ascii="方正书宋_GBK" w:eastAsia="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缴纳次数</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缴纳会费次数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次</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 xml:space="preserve"> </w:t>
            </w:r>
            <w:r>
              <w:rPr>
                <w:rFonts w:hint="eastAsia" w:ascii="方正书宋_GBK" w:eastAsia="方正书宋_GBK"/>
              </w:rPr>
              <w:t>缴纳会费及时率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和协会密切联系</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同两区协会保持良好工作关系，密切联系</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进一步提升</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促进发展</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促进加工区良性发展</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进一步提升</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协会满意度</w:t>
            </w:r>
          </w:p>
        </w:tc>
        <w:tc>
          <w:tcPr>
            <w:tcW w:w="1276" w:type="dxa"/>
            <w:shd w:val="clear" w:color="auto" w:fill="auto"/>
            <w:vAlign w:val="center"/>
          </w:tcPr>
          <w:p>
            <w:pPr>
              <w:spacing w:line="300" w:lineRule="exact"/>
              <w:jc w:val="left"/>
              <w:rPr>
                <w:rFonts w:hint="eastAsia" w:ascii="方正书宋_GBK" w:eastAsia="方正书宋_GBK"/>
              </w:rPr>
            </w:pPr>
            <w:r>
              <w:rPr>
                <w:rFonts w:ascii="方正书宋_GBK" w:eastAsia="方正书宋_GBK"/>
              </w:rPr>
              <w:t>100</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jc w:val="left"/>
        <w:outlineLvl w:val="1"/>
        <w:rPr>
          <w:rFonts w:hAnsi="宋体"/>
          <w:b/>
          <w:sz w:val="28"/>
        </w:rPr>
      </w:pPr>
      <w:r>
        <w:rPr>
          <w:rFonts w:hint="eastAsia" w:ascii="方正仿宋_GBK" w:eastAsia="方正仿宋_GBK"/>
          <w:b/>
          <w:sz w:val="28"/>
        </w:rPr>
        <w:t>14、食堂日常及维护费用绩效目标表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6" w:name="_Toc29430202"/>
      <w:r>
        <w:rPr>
          <w:rFonts w:hint="eastAsia" w:ascii="方正仿宋_GBK" w:eastAsia="方正仿宋_GBK"/>
          <w:b/>
          <w:sz w:val="28"/>
        </w:rPr>
        <w:instrText xml:space="preserve">14、食堂日常及维护费用绩效目标表</w:instrText>
      </w:r>
      <w:bookmarkEnd w:id="16"/>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779002</w:t>
            </w:r>
            <w:r>
              <w:rPr>
                <w:rFonts w:hint="eastAsia" w:ascii="方正书宋_GBK" w:eastAsia="方正书宋_GBK"/>
                <w:b/>
              </w:rPr>
              <w:t>秦皇岛出口加工区管理委员会</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2"/>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、确保食堂设备正常使用；确保就餐人员卫生安全，食堂人员正常按年度体检，达到食药监部要求；确保食堂正常运行。</w:t>
            </w:r>
          </w:p>
        </w:tc>
      </w:tr>
    </w:tbl>
    <w:p>
      <w:pPr>
        <w:spacing w:line="14" w:lineRule="exact"/>
        <w:ind w:firstLine="420" w:firstLineChars="200"/>
        <w:jc w:val="center"/>
        <w:rPr>
          <w:rFonts w:hAnsi="宋体"/>
        </w:rPr>
      </w:pPr>
      <w:r>
        <w:rPr>
          <w:rFonts w:ascii="方正书宋_GBK" w:eastAsia="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运行天数</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食堂正常运行天数</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正常使用天数</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食堂设备正常使用天数</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按时率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食堂人员按时体检率</w:t>
            </w:r>
          </w:p>
        </w:tc>
        <w:tc>
          <w:tcPr>
            <w:tcW w:w="1276" w:type="dxa"/>
            <w:shd w:val="clear" w:color="auto" w:fill="auto"/>
            <w:vAlign w:val="center"/>
          </w:tcPr>
          <w:p>
            <w:pPr>
              <w:spacing w:line="300" w:lineRule="exact"/>
              <w:jc w:val="left"/>
              <w:rPr>
                <w:rFonts w:hint="eastAsia" w:ascii="方正书宋_GBK" w:eastAsia="方正书宋_GBK"/>
              </w:rPr>
            </w:pPr>
            <w:r>
              <w:rPr>
                <w:rFonts w:ascii="方正书宋_GBK" w:eastAsia="方正书宋_GBK"/>
              </w:rPr>
              <w:t>100</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 xml:space="preserve"> </w:t>
            </w:r>
            <w:r>
              <w:rPr>
                <w:rFonts w:hint="eastAsia" w:ascii="方正书宋_GBK" w:eastAsia="方正书宋_GBK"/>
              </w:rPr>
              <w:t>食堂设备维修及时率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达到要求</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达到食药监部门要求</w:t>
            </w:r>
          </w:p>
        </w:tc>
        <w:tc>
          <w:tcPr>
            <w:tcW w:w="1276" w:type="dxa"/>
            <w:shd w:val="clear" w:color="auto" w:fill="auto"/>
            <w:vAlign w:val="center"/>
          </w:tcPr>
          <w:p>
            <w:pPr>
              <w:spacing w:line="300" w:lineRule="exact"/>
              <w:jc w:val="left"/>
              <w:rPr>
                <w:rFonts w:hint="eastAsia" w:ascii="方正书宋_GBK" w:eastAsia="方正书宋_GBK"/>
              </w:rPr>
            </w:pPr>
            <w:r>
              <w:rPr>
                <w:rFonts w:ascii="方正书宋_GBK" w:eastAsia="方正书宋_GBK"/>
              </w:rPr>
              <w:t>100</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保障用餐</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保障工作人员正常就餐</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满意度</w:t>
            </w:r>
            <w:r>
              <w:rPr>
                <w:rFonts w:ascii="方正书宋_GBK" w:eastAsia="方正书宋_GBK"/>
              </w:rPr>
              <w:t xml:space="preserve"> </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就餐人员满意度</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jc w:val="left"/>
        <w:outlineLvl w:val="1"/>
        <w:rPr>
          <w:rFonts w:hAnsi="宋体"/>
          <w:b/>
          <w:sz w:val="28"/>
        </w:rPr>
      </w:pPr>
      <w:r>
        <w:rPr>
          <w:rFonts w:hint="eastAsia" w:ascii="方正仿宋_GBK" w:eastAsia="方正仿宋_GBK"/>
          <w:b/>
          <w:sz w:val="28"/>
        </w:rPr>
        <w:t>15、消防设施电气设备维保检测费绩效目标表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7" w:name="_Toc29430203"/>
      <w:r>
        <w:rPr>
          <w:rFonts w:hint="eastAsia" w:ascii="方正仿宋_GBK" w:eastAsia="方正仿宋_GBK"/>
          <w:b/>
          <w:sz w:val="28"/>
        </w:rPr>
        <w:instrText xml:space="preserve">15、消防设施电气设备维保检测费绩效目标表</w:instrText>
      </w:r>
      <w:bookmarkEnd w:id="17"/>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779002</w:t>
            </w:r>
            <w:r>
              <w:rPr>
                <w:rFonts w:hint="eastAsia" w:ascii="方正书宋_GBK" w:eastAsia="方正书宋_GBK"/>
                <w:b/>
              </w:rPr>
              <w:t>秦皇岛出口加工区管理委员会</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2"/>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w:t>
            </w:r>
            <w:r>
              <w:rPr>
                <w:rFonts w:ascii="方正书宋_GBK" w:eastAsia="方正书宋_GBK"/>
              </w:rPr>
              <w:t>119</w:t>
            </w:r>
            <w:r>
              <w:rPr>
                <w:rFonts w:hint="eastAsia" w:ascii="方正书宋_GBK" w:eastAsia="方正书宋_GBK"/>
              </w:rPr>
              <w:t>消防报警联网运行</w:t>
            </w:r>
            <w:r>
              <w:rPr>
                <w:rFonts w:ascii="方正书宋_GBK" w:eastAsia="方正书宋_GBK"/>
              </w:rPr>
              <w:t>365</w:t>
            </w:r>
            <w:r>
              <w:rPr>
                <w:rFonts w:hint="eastAsia" w:ascii="方正书宋_GBK" w:eastAsia="方正书宋_GBK"/>
              </w:rPr>
              <w:t>天，保证网络畅通</w:t>
            </w:r>
            <w:r>
              <w:rPr>
                <w:rFonts w:ascii="方正书宋_GBK" w:eastAsia="方正书宋_GBK"/>
              </w:rPr>
              <w:t>;</w:t>
            </w:r>
            <w:r>
              <w:rPr>
                <w:rFonts w:hint="eastAsia" w:ascii="方正书宋_GBK" w:eastAsia="方正书宋_GBK"/>
              </w:rPr>
              <w:t>消防设施维修保养；火灾自动报警系统正常运行；自动灭火系统正常运行；防排烟系统正常运行；消火栓系统正常运行；消防广播、疏散指示标志正常运行</w:t>
            </w:r>
          </w:p>
        </w:tc>
      </w:tr>
    </w:tbl>
    <w:p>
      <w:pPr>
        <w:spacing w:line="14" w:lineRule="exact"/>
        <w:ind w:firstLine="420" w:firstLineChars="200"/>
        <w:jc w:val="center"/>
        <w:rPr>
          <w:rFonts w:hAnsi="宋体"/>
        </w:rPr>
      </w:pPr>
      <w:r>
        <w:rPr>
          <w:rFonts w:ascii="方正书宋_GBK" w:eastAsia="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完工验收时间</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维修维护完工验收时间</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w:t>
            </w:r>
            <w:r>
              <w:rPr>
                <w:rFonts w:hint="eastAsia" w:ascii="方正书宋_GBK" w:eastAsia="方正书宋_GBK"/>
              </w:rPr>
              <w:t>月</w:t>
            </w:r>
            <w:r>
              <w:rPr>
                <w:rFonts w:ascii="方正书宋_GBK" w:eastAsia="方正书宋_GBK"/>
              </w:rPr>
              <w:t>31</w:t>
            </w:r>
            <w:r>
              <w:rPr>
                <w:rFonts w:hint="eastAsia" w:ascii="方正书宋_GBK" w:eastAsia="方正书宋_GBK"/>
              </w:rPr>
              <w:t>日前</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正常运行天数</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保证网络畅通、设备运行天数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365</w:t>
            </w:r>
            <w:r>
              <w:rPr>
                <w:rFonts w:hint="eastAsia" w:ascii="方正书宋_GBK" w:eastAsia="方正书宋_GBK"/>
              </w:rPr>
              <w:t>天</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正运行天数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119</w:t>
            </w:r>
            <w:r>
              <w:rPr>
                <w:rFonts w:hint="eastAsia" w:ascii="方正书宋_GBK" w:eastAsia="方正书宋_GBK"/>
              </w:rPr>
              <w:t>消防报警联网运行天数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365</w:t>
            </w:r>
            <w:r>
              <w:rPr>
                <w:rFonts w:hint="eastAsia" w:ascii="方正书宋_GBK" w:eastAsia="方正书宋_GBK"/>
              </w:rPr>
              <w:t>天</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运行效率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消防设施维修保养，消防设施、电气设备进行全面检测提高运行效率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延长设备使用年限</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持续发挥设备作用</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进一步提高</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事故降低率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消防安全事故降低率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10</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群众对消防工作的满意度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jc w:val="left"/>
        <w:outlineLvl w:val="1"/>
        <w:rPr>
          <w:rFonts w:hAnsi="宋体"/>
          <w:b/>
          <w:sz w:val="28"/>
        </w:rPr>
      </w:pPr>
      <w:r>
        <w:rPr>
          <w:rFonts w:hint="eastAsia" w:ascii="方正仿宋_GBK" w:eastAsia="方正仿宋_GBK"/>
          <w:b/>
          <w:sz w:val="28"/>
        </w:rPr>
        <w:t>16、招商费绩效目标表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8" w:name="_Toc29430204"/>
      <w:r>
        <w:rPr>
          <w:rFonts w:hint="eastAsia" w:ascii="方正仿宋_GBK" w:eastAsia="方正仿宋_GBK"/>
          <w:b/>
          <w:sz w:val="28"/>
        </w:rPr>
        <w:instrText xml:space="preserve">16、招商费绩效目标表</w:instrText>
      </w:r>
      <w:bookmarkEnd w:id="18"/>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779002</w:t>
            </w:r>
            <w:r>
              <w:rPr>
                <w:rFonts w:hint="eastAsia" w:ascii="方正书宋_GBK" w:eastAsia="方正书宋_GBK"/>
                <w:b/>
              </w:rPr>
              <w:t>秦皇岛出口加工区管理委员会</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2"/>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、进一步加强招商工作；保证加工区按省市领导要求在升级综保区后利用好政策，加大招商力度，做强做好综保区。</w:t>
            </w:r>
          </w:p>
        </w:tc>
      </w:tr>
    </w:tbl>
    <w:p>
      <w:pPr>
        <w:spacing w:line="14" w:lineRule="exact"/>
        <w:ind w:firstLine="420" w:firstLineChars="200"/>
        <w:jc w:val="center"/>
        <w:rPr>
          <w:rFonts w:hAnsi="宋体"/>
        </w:rPr>
      </w:pPr>
      <w:r>
        <w:rPr>
          <w:rFonts w:ascii="方正书宋_GBK" w:eastAsia="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及时率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有招商任务时可以及时外出招商</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使用状态</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公务用车保持正常使用状态</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提供用餐</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为来区客商提供接待用餐</w:t>
            </w:r>
          </w:p>
        </w:tc>
        <w:tc>
          <w:tcPr>
            <w:tcW w:w="1276" w:type="dxa"/>
            <w:shd w:val="clear" w:color="auto" w:fill="auto"/>
            <w:vAlign w:val="center"/>
          </w:tcPr>
          <w:p>
            <w:pPr>
              <w:spacing w:line="300" w:lineRule="exact"/>
              <w:jc w:val="left"/>
              <w:rPr>
                <w:rFonts w:hint="eastAsia" w:ascii="方正书宋_GBK" w:eastAsia="方正书宋_GBK"/>
              </w:rPr>
            </w:pPr>
            <w:r>
              <w:rPr>
                <w:rFonts w:ascii="方正书宋_GBK" w:eastAsia="方正书宋_GBK"/>
              </w:rPr>
              <w:t>100</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保障率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为加工区二期封关提供保障</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进一步提高</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提供保障</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为加工区转型升级综保区提供保障</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进一步提高</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增强力度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增强加工区招商工作力度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进一步增强</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客商满意度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99</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jc w:val="left"/>
        <w:outlineLvl w:val="1"/>
        <w:rPr>
          <w:rFonts w:hAnsi="宋体"/>
          <w:b/>
          <w:sz w:val="28"/>
        </w:rPr>
      </w:pPr>
      <w:r>
        <w:rPr>
          <w:rFonts w:hint="eastAsia" w:ascii="方正仿宋_GBK" w:eastAsia="方正仿宋_GBK"/>
          <w:b/>
          <w:sz w:val="28"/>
        </w:rPr>
        <w:t>17、专项办公经费绩效目标表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19" w:name="_Toc29430205"/>
      <w:r>
        <w:rPr>
          <w:rFonts w:hint="eastAsia" w:ascii="方正仿宋_GBK" w:eastAsia="方正仿宋_GBK"/>
          <w:b/>
          <w:sz w:val="28"/>
        </w:rPr>
        <w:instrText xml:space="preserve">17、专项办公经费绩效目标表</w:instrText>
      </w:r>
      <w:bookmarkEnd w:id="19"/>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779002</w:t>
            </w:r>
            <w:r>
              <w:rPr>
                <w:rFonts w:hint="eastAsia" w:ascii="方正书宋_GBK" w:eastAsia="方正书宋_GBK"/>
                <w:b/>
              </w:rPr>
              <w:t>秦皇岛出口加工区管理委员会</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2"/>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、确保加工区办公楼、加工区区内和分包社区达到国家卫生城市标准。</w:t>
            </w:r>
          </w:p>
          <w:p>
            <w:pPr>
              <w:spacing w:line="300" w:lineRule="exact"/>
              <w:jc w:val="left"/>
              <w:rPr>
                <w:rFonts w:ascii="方正书宋_GBK" w:eastAsia="方正书宋_GBK"/>
              </w:rPr>
            </w:pPr>
            <w:r>
              <w:rPr>
                <w:rFonts w:ascii="方正书宋_GBK" w:eastAsia="方正书宋_GBK"/>
              </w:rPr>
              <w:t>2</w:t>
            </w:r>
            <w:r>
              <w:rPr>
                <w:rFonts w:hint="eastAsia" w:ascii="方正书宋_GBK" w:eastAsia="方正书宋_GBK"/>
              </w:rPr>
              <w:t>、保证会议室和贵客室的正常使用。</w:t>
            </w:r>
          </w:p>
          <w:p>
            <w:pPr>
              <w:spacing w:line="300" w:lineRule="exact"/>
              <w:jc w:val="left"/>
              <w:rPr>
                <w:rFonts w:ascii="方正书宋_GBK" w:eastAsia="方正书宋_GBK"/>
              </w:rPr>
            </w:pPr>
            <w:r>
              <w:rPr>
                <w:rFonts w:ascii="方正书宋_GBK" w:eastAsia="方正书宋_GBK"/>
              </w:rPr>
              <w:t>3</w:t>
            </w:r>
            <w:r>
              <w:rPr>
                <w:rFonts w:hint="eastAsia" w:ascii="方正书宋_GBK" w:eastAsia="方正书宋_GBK"/>
              </w:rPr>
              <w:t>、保证政策宣传及时性，满足招商工作提供保证；保证升级转型后单位各部门正常办公形象。</w:t>
            </w:r>
          </w:p>
          <w:p>
            <w:pPr>
              <w:spacing w:line="300" w:lineRule="exact"/>
              <w:jc w:val="left"/>
              <w:rPr>
                <w:rFonts w:ascii="方正书宋_GBK" w:eastAsia="方正书宋_GBK"/>
              </w:rPr>
            </w:pPr>
            <w:r>
              <w:rPr>
                <w:rFonts w:ascii="方正书宋_GBK" w:eastAsia="方正书宋_GBK"/>
              </w:rPr>
              <w:t>4</w:t>
            </w:r>
            <w:r>
              <w:rPr>
                <w:rFonts w:hint="eastAsia" w:ascii="方正书宋_GBK" w:eastAsia="方正书宋_GBK"/>
              </w:rPr>
              <w:t>、保证办公设备和楼内设施设备正常使用。</w:t>
            </w:r>
          </w:p>
          <w:p>
            <w:pPr>
              <w:spacing w:line="300" w:lineRule="exact"/>
              <w:jc w:val="left"/>
              <w:rPr>
                <w:rFonts w:ascii="方正书宋_GBK" w:eastAsia="方正书宋_GBK"/>
              </w:rPr>
            </w:pPr>
            <w:r>
              <w:rPr>
                <w:rFonts w:ascii="方正书宋_GBK" w:eastAsia="方正书宋_GBK"/>
              </w:rPr>
              <w:t>5</w:t>
            </w:r>
            <w:r>
              <w:rPr>
                <w:rFonts w:hint="eastAsia" w:ascii="方正书宋_GBK" w:eastAsia="方正书宋_GBK"/>
              </w:rPr>
              <w:t>、确保应急值班工作正常开展，保障值班人员正常就餐和休息。</w:t>
            </w:r>
          </w:p>
        </w:tc>
      </w:tr>
    </w:tbl>
    <w:p>
      <w:pPr>
        <w:spacing w:line="14" w:lineRule="exact"/>
        <w:ind w:firstLine="420" w:firstLineChars="200"/>
        <w:jc w:val="center"/>
        <w:rPr>
          <w:rFonts w:hAnsi="宋体"/>
        </w:rPr>
      </w:pPr>
      <w:r>
        <w:rPr>
          <w:rFonts w:ascii="方正书宋_GBK" w:eastAsia="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达到创卫标准</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创卫工作分包社区达到创卫标准</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80</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印制合格率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各类文件纸、单据、招商资料印制合格率</w:t>
            </w:r>
          </w:p>
        </w:tc>
        <w:tc>
          <w:tcPr>
            <w:tcW w:w="1276" w:type="dxa"/>
            <w:shd w:val="clear" w:color="auto" w:fill="auto"/>
            <w:vAlign w:val="center"/>
          </w:tcPr>
          <w:p>
            <w:pPr>
              <w:spacing w:line="300" w:lineRule="exact"/>
              <w:jc w:val="left"/>
              <w:rPr>
                <w:rFonts w:hint="eastAsia" w:ascii="方正书宋_GBK" w:eastAsia="方正书宋_GBK"/>
              </w:rPr>
            </w:pPr>
            <w:r>
              <w:rPr>
                <w:rFonts w:ascii="方正书宋_GBK" w:eastAsia="方正书宋_GBK"/>
              </w:rPr>
              <w:t>100</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天数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 xml:space="preserve"> </w:t>
            </w:r>
            <w:r>
              <w:rPr>
                <w:rFonts w:hint="eastAsia" w:ascii="方正书宋_GBK" w:eastAsia="方正书宋_GBK"/>
              </w:rPr>
              <w:t>单位正常值班天数</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正常接待天数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 xml:space="preserve"> </w:t>
            </w:r>
            <w:r>
              <w:rPr>
                <w:rFonts w:hint="eastAsia" w:ascii="方正书宋_GBK" w:eastAsia="方正书宋_GBK"/>
              </w:rPr>
              <w:t>会议室、贵宾室正常接待、会议天数</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95</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维修及时率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 xml:space="preserve"> </w:t>
            </w:r>
            <w:r>
              <w:rPr>
                <w:rFonts w:hint="eastAsia" w:ascii="方正书宋_GBK" w:eastAsia="方正书宋_GBK"/>
              </w:rPr>
              <w:t>办公设备及楼内设施维修及时率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工作正常开展</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保障加工区工作正常开展</w:t>
            </w:r>
          </w:p>
        </w:tc>
        <w:tc>
          <w:tcPr>
            <w:tcW w:w="1276" w:type="dxa"/>
            <w:shd w:val="clear" w:color="auto" w:fill="auto"/>
            <w:vAlign w:val="center"/>
          </w:tcPr>
          <w:p>
            <w:pPr>
              <w:spacing w:line="300" w:lineRule="exact"/>
              <w:jc w:val="left"/>
              <w:rPr>
                <w:rFonts w:hint="eastAsia" w:ascii="方正书宋_GBK" w:eastAsia="方正书宋_GBK"/>
              </w:rPr>
            </w:pPr>
            <w:r>
              <w:rPr>
                <w:rFonts w:ascii="方正书宋_GBK" w:eastAsia="方正书宋_GBK"/>
              </w:rPr>
              <w:t>100</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提升群众对创卫工作认可度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提升群众对创卫工作认可度</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进一步提升</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正常应急工作开展</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保障值班人员正常用餐</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进一步保障</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保证加工区良好形象</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保证加工区良好形象</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进一步保障</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群众满意度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满意度</w:t>
            </w:r>
            <w:r>
              <w:rPr>
                <w:rFonts w:ascii="方正书宋_GBK" w:eastAsia="方正书宋_GBK"/>
              </w:rPr>
              <w:t xml:space="preserve"> </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值班人员满意度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社区居民满意度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jc w:val="left"/>
        <w:outlineLvl w:val="1"/>
        <w:rPr>
          <w:rFonts w:hAnsi="宋体"/>
          <w:b/>
          <w:sz w:val="28"/>
        </w:rPr>
      </w:pPr>
      <w:r>
        <w:rPr>
          <w:rFonts w:hint="eastAsia" w:ascii="方正仿宋_GBK" w:eastAsia="方正仿宋_GBK"/>
          <w:b/>
          <w:sz w:val="28"/>
        </w:rPr>
        <w:t>18、综保区开发实施方案和产业发展规划设计费绩效目标表</w:t>
      </w:r>
      <w:r>
        <w:rPr>
          <w:rFonts w:ascii="方正仿宋_GBK" w:eastAsia="方正仿宋_GBK"/>
          <w:b/>
          <w:sz w:val="28"/>
        </w:rPr>
        <w:fldChar w:fldCharType="begin"/>
      </w:r>
      <w:r>
        <w:rPr>
          <w:rFonts w:ascii="方正仿宋_GBK" w:eastAsia="方正仿宋_GBK"/>
          <w:b/>
          <w:sz w:val="28"/>
        </w:rPr>
        <w:instrText xml:space="preserve"> </w:instrText>
      </w:r>
      <w:r>
        <w:rPr>
          <w:rFonts w:hint="eastAsia" w:ascii="方正仿宋_GBK" w:eastAsia="方正仿宋_GBK"/>
          <w:b/>
          <w:sz w:val="28"/>
        </w:rPr>
        <w:instrText xml:space="preserve">TC </w:instrText>
      </w:r>
      <w:bookmarkStart w:id="20" w:name="_Toc29430206"/>
      <w:r>
        <w:rPr>
          <w:rFonts w:hint="eastAsia" w:ascii="方正仿宋_GBK" w:eastAsia="方正仿宋_GBK"/>
          <w:b/>
          <w:sz w:val="28"/>
        </w:rPr>
        <w:instrText xml:space="preserve">18、综保区开发实施方案和产业发展规划设计费绩效目标表</w:instrText>
      </w:r>
      <w:bookmarkEnd w:id="20"/>
      <w:r>
        <w:rPr>
          <w:rFonts w:hint="eastAsia" w:ascii="方正仿宋_GBK" w:eastAsia="方正仿宋_GBK"/>
          <w:b/>
          <w:sz w:val="28"/>
        </w:rPr>
        <w:instrText xml:space="preserve"> \f C \l 1</w:instrText>
      </w:r>
      <w:r>
        <w:rPr>
          <w:rFonts w:ascii="方正仿宋_GBK" w:eastAsia="方正仿宋_GBK"/>
          <w:b/>
          <w:sz w:val="28"/>
        </w:rPr>
        <w:instrText xml:space="preserve"> </w:instrText>
      </w:r>
      <w:r>
        <w:rPr>
          <w:rFonts w:ascii="方正仿宋_GBK" w:eastAsia="方正仿宋_GBK"/>
          <w:b/>
          <w:sz w:val="28"/>
        </w:rPr>
        <w:fldChar w:fldCharType="end"/>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6577"/>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2"/>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779002</w:t>
            </w:r>
            <w:r>
              <w:rPr>
                <w:rFonts w:hint="eastAsia" w:ascii="方正书宋_GBK" w:eastAsia="方正书宋_GBK"/>
                <w:b/>
              </w:rPr>
              <w:t>秦皇岛出口加工区管理委员会</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hint="eastAsia" w:ascii="方正书宋_GBK" w:eastAsia="方正书宋_GBK"/>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8278" w:type="dxa"/>
            <w:gridSpan w:val="2"/>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、制定综保区开发实施方案；对综保区产业发展规划进行顶层设计。</w:t>
            </w:r>
          </w:p>
        </w:tc>
      </w:tr>
    </w:tbl>
    <w:p>
      <w:pPr>
        <w:spacing w:line="14" w:lineRule="exact"/>
        <w:ind w:firstLine="420" w:firstLineChars="200"/>
        <w:jc w:val="center"/>
        <w:rPr>
          <w:rFonts w:hAnsi="宋体"/>
        </w:rPr>
      </w:pPr>
      <w:r>
        <w:rPr>
          <w:rFonts w:ascii="方正书宋_GBK" w:eastAsia="方正书宋_GBK"/>
        </w:rPr>
        <w:t xml:space="preserve"> </w:t>
      </w:r>
    </w:p>
    <w:tbl>
      <w:tblPr>
        <w:tblStyle w:val="8"/>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hint="eastAsia"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完成产业发展计划数量</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完成综合保税区产业发展规划数量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w:t>
            </w:r>
            <w:r>
              <w:rPr>
                <w:rFonts w:hint="eastAsia" w:ascii="方正书宋_GBK" w:eastAsia="方正书宋_GBK"/>
              </w:rPr>
              <w:t>套</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质量指标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良好完成率</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良好完成综保区产业发展规划</w:t>
            </w:r>
          </w:p>
        </w:tc>
        <w:tc>
          <w:tcPr>
            <w:tcW w:w="12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时效指标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设计完成时间</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设计完成时间</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在合同期内完成</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效果指标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可持续影响指标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推动区域高质量发展</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推动区域高质量发展</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进一步推动</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经济效益指标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推动物流业态发展</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推动物流业态发展</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进一步推动</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hint="eastAsia" w:ascii="方正书宋_GBK" w:eastAsia="方正书宋_GBK"/>
              </w:rPr>
            </w:pP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社会效益指标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提升区域开放水平</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提升区域开放水平</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进一步提升</w:t>
            </w:r>
          </w:p>
        </w:tc>
        <w:tc>
          <w:tcPr>
            <w:tcW w:w="1701" w:type="dxa"/>
            <w:shd w:val="clear" w:color="auto" w:fill="auto"/>
            <w:vAlign w:val="center"/>
          </w:tcPr>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满意度指标</w:t>
            </w:r>
          </w:p>
        </w:tc>
        <w:tc>
          <w:tcPr>
            <w:tcW w:w="113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服务对象满意度指标</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满意度</w:t>
            </w:r>
          </w:p>
        </w:tc>
        <w:tc>
          <w:tcPr>
            <w:tcW w:w="2891"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使者满意度</w:t>
            </w:r>
          </w:p>
        </w:tc>
        <w:tc>
          <w:tcPr>
            <w:tcW w:w="12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w:t>
            </w:r>
            <w:r>
              <w:rPr>
                <w:rFonts w:ascii="方正书宋_GBK" w:eastAsia="方正书宋_GBK"/>
              </w:rPr>
              <w:t>98</w:t>
            </w:r>
            <w:r>
              <w:rPr>
                <w:rFonts w:hint="eastAsia" w:ascii="方正书宋_GBK" w:eastAsia="方正书宋_GBK"/>
              </w:rPr>
              <w:t>百分比</w:t>
            </w:r>
          </w:p>
        </w:tc>
        <w:tc>
          <w:tcPr>
            <w:tcW w:w="1701" w:type="dxa"/>
            <w:shd w:val="clear" w:color="auto" w:fill="auto"/>
            <w:vAlign w:val="center"/>
          </w:tcPr>
          <w:p>
            <w:pPr>
              <w:spacing w:line="300" w:lineRule="exact"/>
              <w:jc w:val="left"/>
              <w:rPr>
                <w:rFonts w:ascii="方正书宋_GBK" w:eastAsia="方正书宋_GBK"/>
              </w:rPr>
            </w:pPr>
          </w:p>
        </w:tc>
      </w:tr>
    </w:tbl>
    <w:p>
      <w:pPr>
        <w:spacing w:line="300" w:lineRule="exact"/>
        <w:jc w:val="left"/>
        <w:rPr>
          <w:rFonts w:hint="eastAsia"/>
        </w:rPr>
        <w:sectPr>
          <w:pgSz w:w="11907" w:h="16839"/>
          <w:pgMar w:top="1984" w:right="1304" w:bottom="1134" w:left="1304" w:header="851" w:footer="992" w:gutter="0"/>
          <w:cols w:space="425" w:num="1"/>
          <w:docGrid w:type="lines" w:linePitch="312" w:charSpace="0"/>
        </w:sectPr>
      </w:pPr>
    </w:p>
    <w:p>
      <w:pPr>
        <w:rPr>
          <w:rFonts w:hint="eastAsia" w:eastAsia="方正仿宋_GBK"/>
          <w:sz w:val="28"/>
        </w:rPr>
      </w:pPr>
    </w:p>
    <w:p>
      <w:pPr>
        <w:ind w:firstLine="640" w:firstLineChars="200"/>
        <w:rPr>
          <w:rFonts w:hint="eastAsia" w:eastAsia="仿宋_GB2312"/>
          <w:sz w:val="32"/>
          <w:szCs w:val="32"/>
        </w:rPr>
      </w:pPr>
    </w:p>
    <w:sectPr>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iaoBiaoSong-B05">
    <w:altName w:val="Arial"/>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altName w:val="宋体"/>
    <w:panose1 w:val="00000000000000000000"/>
    <w:charset w:val="86"/>
    <w:family w:val="roman"/>
    <w:pitch w:val="default"/>
    <w:sig w:usb0="00000000" w:usb1="00000000" w:usb2="00000010" w:usb3="00000000" w:csb0="00040000" w:csb1="00000000"/>
  </w:font>
  <w:font w:name="方正小标宋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separate"/>
    </w:r>
    <w:r>
      <w:rPr>
        <w:rStyle w:val="11"/>
      </w:rPr>
      <w:t>20</w:t>
    </w:r>
    <w:r>
      <w:rPr>
        <w:rStyle w:val="11"/>
      </w:rPr>
      <w:fldChar w:fldCharType="end"/>
    </w:r>
  </w:p>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D210D"/>
    <w:multiLevelType w:val="multilevel"/>
    <w:tmpl w:val="398D210D"/>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A410C3D"/>
    <w:multiLevelType w:val="multilevel"/>
    <w:tmpl w:val="6A410C3D"/>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FE6436"/>
    <w:rsid w:val="000104C7"/>
    <w:rsid w:val="00073B77"/>
    <w:rsid w:val="000A2C02"/>
    <w:rsid w:val="000B1906"/>
    <w:rsid w:val="000E2FAD"/>
    <w:rsid w:val="001059AE"/>
    <w:rsid w:val="00133941"/>
    <w:rsid w:val="001372D7"/>
    <w:rsid w:val="0014222F"/>
    <w:rsid w:val="001A7E17"/>
    <w:rsid w:val="001C2F46"/>
    <w:rsid w:val="001C3704"/>
    <w:rsid w:val="001C7A60"/>
    <w:rsid w:val="001D2AD8"/>
    <w:rsid w:val="001F3960"/>
    <w:rsid w:val="0025155E"/>
    <w:rsid w:val="00253B49"/>
    <w:rsid w:val="002A17E2"/>
    <w:rsid w:val="002D2745"/>
    <w:rsid w:val="002F295D"/>
    <w:rsid w:val="003306C7"/>
    <w:rsid w:val="0036083D"/>
    <w:rsid w:val="003769AC"/>
    <w:rsid w:val="00391B8A"/>
    <w:rsid w:val="00440025"/>
    <w:rsid w:val="00445644"/>
    <w:rsid w:val="00455666"/>
    <w:rsid w:val="004E3FD4"/>
    <w:rsid w:val="004F462B"/>
    <w:rsid w:val="00506E6D"/>
    <w:rsid w:val="0053009A"/>
    <w:rsid w:val="0054307D"/>
    <w:rsid w:val="00543342"/>
    <w:rsid w:val="005D4399"/>
    <w:rsid w:val="00602E57"/>
    <w:rsid w:val="00610A45"/>
    <w:rsid w:val="00623E1D"/>
    <w:rsid w:val="00675F61"/>
    <w:rsid w:val="006A7407"/>
    <w:rsid w:val="006B2D4A"/>
    <w:rsid w:val="006F2D91"/>
    <w:rsid w:val="0071118E"/>
    <w:rsid w:val="0071386C"/>
    <w:rsid w:val="00732B5E"/>
    <w:rsid w:val="00762D14"/>
    <w:rsid w:val="007C37EE"/>
    <w:rsid w:val="007E4761"/>
    <w:rsid w:val="0080576D"/>
    <w:rsid w:val="00850F60"/>
    <w:rsid w:val="008818A8"/>
    <w:rsid w:val="0088325E"/>
    <w:rsid w:val="00886289"/>
    <w:rsid w:val="008A714A"/>
    <w:rsid w:val="008C006A"/>
    <w:rsid w:val="008C7F9A"/>
    <w:rsid w:val="008E1D1D"/>
    <w:rsid w:val="008F1AB0"/>
    <w:rsid w:val="00914837"/>
    <w:rsid w:val="00926049"/>
    <w:rsid w:val="00926B64"/>
    <w:rsid w:val="00927BFD"/>
    <w:rsid w:val="00936005"/>
    <w:rsid w:val="00955224"/>
    <w:rsid w:val="00965F2D"/>
    <w:rsid w:val="00965FF9"/>
    <w:rsid w:val="00990504"/>
    <w:rsid w:val="009D0298"/>
    <w:rsid w:val="009D4189"/>
    <w:rsid w:val="009E5D92"/>
    <w:rsid w:val="009F540B"/>
    <w:rsid w:val="00A24022"/>
    <w:rsid w:val="00A25EC2"/>
    <w:rsid w:val="00A4123A"/>
    <w:rsid w:val="00A65F57"/>
    <w:rsid w:val="00AF2481"/>
    <w:rsid w:val="00B275E9"/>
    <w:rsid w:val="00B27B96"/>
    <w:rsid w:val="00B45FA2"/>
    <w:rsid w:val="00B51B52"/>
    <w:rsid w:val="00B51DAA"/>
    <w:rsid w:val="00B557BF"/>
    <w:rsid w:val="00B6423C"/>
    <w:rsid w:val="00B976FF"/>
    <w:rsid w:val="00BE04BE"/>
    <w:rsid w:val="00C14153"/>
    <w:rsid w:val="00C353EF"/>
    <w:rsid w:val="00C43E4B"/>
    <w:rsid w:val="00C46E5F"/>
    <w:rsid w:val="00C6288E"/>
    <w:rsid w:val="00CB0050"/>
    <w:rsid w:val="00CE64E4"/>
    <w:rsid w:val="00D14EB8"/>
    <w:rsid w:val="00D521D3"/>
    <w:rsid w:val="00D76768"/>
    <w:rsid w:val="00D76904"/>
    <w:rsid w:val="00D91403"/>
    <w:rsid w:val="00D92683"/>
    <w:rsid w:val="00E72036"/>
    <w:rsid w:val="00E75E00"/>
    <w:rsid w:val="00E95E40"/>
    <w:rsid w:val="00E95E63"/>
    <w:rsid w:val="00ED54C2"/>
    <w:rsid w:val="00EE7714"/>
    <w:rsid w:val="00F27474"/>
    <w:rsid w:val="00F379A4"/>
    <w:rsid w:val="00F54919"/>
    <w:rsid w:val="00FB0858"/>
    <w:rsid w:val="00FB2A95"/>
    <w:rsid w:val="00FC647C"/>
    <w:rsid w:val="00FE41EF"/>
    <w:rsid w:val="055272EC"/>
    <w:rsid w:val="21C779C5"/>
    <w:rsid w:val="25414FB5"/>
    <w:rsid w:val="2BA90250"/>
    <w:rsid w:val="2E723639"/>
    <w:rsid w:val="335B38C9"/>
    <w:rsid w:val="35FE6436"/>
    <w:rsid w:val="3BD322CF"/>
    <w:rsid w:val="3C8F50AF"/>
    <w:rsid w:val="48FC10DA"/>
    <w:rsid w:val="4B6051AA"/>
    <w:rsid w:val="50C7570C"/>
    <w:rsid w:val="51E11D82"/>
    <w:rsid w:val="525D549D"/>
    <w:rsid w:val="62050CA5"/>
    <w:rsid w:val="7A156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99"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31"/>
    <w:qFormat/>
    <w:uiPriority w:val="0"/>
    <w:pPr>
      <w:spacing w:after="120"/>
      <w:ind w:left="420" w:leftChars="200"/>
    </w:pPr>
  </w:style>
  <w:style w:type="paragraph" w:styleId="3">
    <w:name w:val="footer"/>
    <w:basedOn w:val="1"/>
    <w:link w:val="34"/>
    <w:qFormat/>
    <w:uiPriority w:val="99"/>
    <w:pPr>
      <w:tabs>
        <w:tab w:val="center" w:pos="4153"/>
        <w:tab w:val="right" w:pos="8306"/>
      </w:tabs>
      <w:snapToGrid w:val="0"/>
      <w:jc w:val="left"/>
    </w:pPr>
    <w:rPr>
      <w:sz w:val="18"/>
      <w:szCs w:val="18"/>
    </w:rPr>
  </w:style>
  <w:style w:type="paragraph" w:styleId="4">
    <w:name w:val="header"/>
    <w:basedOn w:val="1"/>
    <w:link w:val="33"/>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unhideWhenUsed/>
    <w:qFormat/>
    <w:uiPriority w:val="39"/>
    <w:rPr>
      <w:rFonts w:ascii="Calibri" w:hAnsi="Calibri"/>
      <w:szCs w:val="22"/>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Body Text First Indent 2"/>
    <w:basedOn w:val="2"/>
    <w:link w:val="32"/>
    <w:qFormat/>
    <w:uiPriority w:val="0"/>
    <w:pPr>
      <w:ind w:firstLine="420" w:firstLineChars="200"/>
    </w:pPr>
    <w:rPr>
      <w:rFonts w:ascii="Calibri" w:hAnsi="Calibri"/>
      <w:szCs w:val="22"/>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page number"/>
    <w:basedOn w:val="10"/>
    <w:semiHidden/>
    <w:unhideWhenUsed/>
    <w:qFormat/>
    <w:uiPriority w:val="99"/>
  </w:style>
  <w:style w:type="character" w:styleId="12">
    <w:name w:val="FollowedHyperlink"/>
    <w:qFormat/>
    <w:uiPriority w:val="0"/>
    <w:rPr>
      <w:color w:val="800080"/>
      <w:u w:val="single"/>
    </w:rPr>
  </w:style>
  <w:style w:type="character" w:styleId="13">
    <w:name w:val="Hyperlink"/>
    <w:qFormat/>
    <w:uiPriority w:val="99"/>
    <w:rPr>
      <w:color w:val="0000FF"/>
      <w:u w:val="single"/>
    </w:rPr>
  </w:style>
  <w:style w:type="paragraph" w:customStyle="1" w:styleId="1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15">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1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1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18">
    <w:name w:val="font1"/>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9">
    <w:name w:val="xl24"/>
    <w:basedOn w:val="1"/>
    <w:qFormat/>
    <w:uiPriority w:val="0"/>
    <w:pPr>
      <w:widowControl/>
      <w:pBdr>
        <w:top w:val="single" w:color="auto" w:sz="4" w:space="0"/>
        <w:left w:val="single" w:color="auto" w:sz="4" w:space="0"/>
        <w:bottom w:val="single" w:color="auto" w:sz="4" w:space="0"/>
        <w:right w:val="single" w:color="auto" w:sz="4" w:space="0"/>
      </w:pBdr>
      <w:shd w:val="clear" w:color="auto" w:fill="E4ECF7"/>
      <w:spacing w:before="100" w:beforeAutospacing="1" w:after="100" w:afterAutospacing="1"/>
      <w:textAlignment w:val="center"/>
    </w:pPr>
    <w:rPr>
      <w:rFonts w:ascii="宋体" w:hAnsi="宋体" w:cs="宋体"/>
      <w:kern w:val="0"/>
      <w:sz w:val="24"/>
    </w:rPr>
  </w:style>
  <w:style w:type="paragraph" w:customStyle="1" w:styleId="20">
    <w:name w:val="xl23"/>
    <w:basedOn w:val="1"/>
    <w:qFormat/>
    <w:uiPriority w:val="0"/>
    <w:pPr>
      <w:widowControl/>
      <w:pBdr>
        <w:top w:val="single" w:color="auto" w:sz="4" w:space="0"/>
        <w:left w:val="single" w:color="auto" w:sz="4" w:space="0"/>
        <w:bottom w:val="single" w:color="auto" w:sz="4" w:space="0"/>
        <w:right w:val="single" w:color="auto" w:sz="4" w:space="0"/>
      </w:pBdr>
      <w:shd w:val="clear" w:color="auto" w:fill="E4ECF7"/>
      <w:spacing w:before="100" w:beforeAutospacing="1" w:after="100" w:afterAutospacing="1"/>
      <w:jc w:val="center"/>
      <w:textAlignment w:val="center"/>
    </w:pPr>
    <w:rPr>
      <w:rFonts w:ascii="宋体" w:hAnsi="宋体" w:cs="宋体"/>
      <w:kern w:val="0"/>
      <w:sz w:val="24"/>
    </w:rPr>
  </w:style>
  <w:style w:type="paragraph" w:styleId="21">
    <w:name w:val="List Paragraph"/>
    <w:basedOn w:val="1"/>
    <w:qFormat/>
    <w:uiPriority w:val="0"/>
    <w:pPr>
      <w:ind w:firstLine="420" w:firstLineChars="200"/>
    </w:pPr>
    <w:rPr>
      <w:rFonts w:ascii="Calibri" w:hAnsi="Calibri"/>
      <w:szCs w:val="22"/>
    </w:rPr>
  </w:style>
  <w:style w:type="paragraph" w:customStyle="1" w:styleId="22">
    <w:name w:val="xl25"/>
    <w:basedOn w:val="1"/>
    <w:qFormat/>
    <w:uiPriority w:val="0"/>
    <w:pPr>
      <w:widowControl/>
      <w:pBdr>
        <w:top w:val="single" w:color="auto" w:sz="4" w:space="0"/>
        <w:left w:val="single" w:color="auto" w:sz="4" w:space="0"/>
        <w:bottom w:val="single" w:color="auto" w:sz="4" w:space="0"/>
        <w:right w:val="single" w:color="auto" w:sz="4" w:space="0"/>
      </w:pBdr>
      <w:shd w:val="clear" w:color="auto" w:fill="E4ECF7"/>
      <w:spacing w:before="100" w:beforeAutospacing="1" w:after="100" w:afterAutospacing="1"/>
      <w:jc w:val="left"/>
      <w:textAlignment w:val="center"/>
    </w:pPr>
    <w:rPr>
      <w:rFonts w:ascii="宋体" w:hAnsi="宋体" w:cs="宋体"/>
      <w:kern w:val="0"/>
      <w:sz w:val="24"/>
    </w:rPr>
  </w:style>
  <w:style w:type="paragraph" w:customStyle="1" w:styleId="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4">
    <w:name w:val="Default"/>
    <w:qFormat/>
    <w:uiPriority w:val="0"/>
    <w:pPr>
      <w:widowControl w:val="0"/>
      <w:autoSpaceDE w:val="0"/>
      <w:autoSpaceDN w:val="0"/>
      <w:adjustRightInd w:val="0"/>
    </w:pPr>
    <w:rPr>
      <w:rFonts w:ascii="FZXiaoBiaoSong-B05" w:hAnsi="FZXiaoBiaoSong-B05" w:eastAsia="宋体" w:cs="FZXiaoBiaoSong-B05"/>
      <w:color w:val="000000"/>
      <w:sz w:val="24"/>
      <w:szCs w:val="24"/>
      <w:lang w:val="en-US" w:eastAsia="zh-CN" w:bidi="ar-SA"/>
    </w:rPr>
  </w:style>
  <w:style w:type="paragraph" w:customStyle="1" w:styleId="25">
    <w:name w:val="xl22"/>
    <w:basedOn w:val="1"/>
    <w:qFormat/>
    <w:uiPriority w:val="0"/>
    <w:pPr>
      <w:widowControl/>
      <w:pBdr>
        <w:top w:val="single" w:color="auto" w:sz="4" w:space="0"/>
        <w:left w:val="single" w:color="auto" w:sz="4" w:space="0"/>
        <w:bottom w:val="single" w:color="auto" w:sz="4" w:space="0"/>
        <w:right w:val="single" w:color="auto" w:sz="4" w:space="0"/>
      </w:pBdr>
      <w:shd w:val="clear" w:color="auto" w:fill="E4ECF7"/>
      <w:spacing w:before="100" w:beforeAutospacing="1" w:after="100" w:afterAutospacing="1"/>
      <w:jc w:val="center"/>
      <w:textAlignment w:val="center"/>
    </w:pPr>
    <w:rPr>
      <w:rFonts w:ascii="宋体" w:hAnsi="宋体" w:cs="宋体"/>
      <w:b/>
      <w:bCs/>
      <w:kern w:val="0"/>
      <w:sz w:val="44"/>
      <w:szCs w:val="44"/>
    </w:rPr>
  </w:style>
  <w:style w:type="paragraph" w:customStyle="1" w:styleId="2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kern w:val="0"/>
      <w:sz w:val="24"/>
    </w:rPr>
  </w:style>
  <w:style w:type="paragraph" w:customStyle="1" w:styleId="27">
    <w:name w:val="[Normal]"/>
    <w:qFormat/>
    <w:uiPriority w:val="0"/>
    <w:rPr>
      <w:rFonts w:ascii="宋体" w:hAnsi="宋体" w:eastAsia="宋体" w:cs="Times New Roman"/>
      <w:sz w:val="24"/>
      <w:lang w:val="en-US" w:eastAsia="en-US" w:bidi="ar-SA"/>
    </w:rPr>
  </w:style>
  <w:style w:type="paragraph" w:customStyle="1" w:styleId="28">
    <w:name w:val="标题 21"/>
    <w:basedOn w:val="1"/>
    <w:next w:val="1"/>
    <w:qFormat/>
    <w:uiPriority w:val="0"/>
    <w:pPr>
      <w:keepNext/>
      <w:keepLines/>
      <w:spacing w:before="120" w:after="120" w:line="560" w:lineRule="exact"/>
      <w:ind w:firstLine="200"/>
    </w:pPr>
    <w:rPr>
      <w:rFonts w:ascii="Cambria" w:hAnsi="Cambria" w:eastAsia="Cambria"/>
      <w:b/>
      <w:kern w:val="0"/>
      <w:sz w:val="32"/>
      <w:szCs w:val="20"/>
      <w:lang w:eastAsia="en-US"/>
    </w:rPr>
  </w:style>
  <w:style w:type="paragraph" w:customStyle="1" w:styleId="29">
    <w:name w:val="标题 11"/>
    <w:basedOn w:val="1"/>
    <w:next w:val="1"/>
    <w:qFormat/>
    <w:uiPriority w:val="0"/>
    <w:pPr>
      <w:keepNext/>
      <w:keepLines/>
      <w:spacing w:before="120" w:after="120" w:line="600" w:lineRule="exact"/>
      <w:ind w:firstLine="200"/>
    </w:pPr>
    <w:rPr>
      <w:rFonts w:eastAsia="Times New Roman"/>
      <w:kern w:val="0"/>
      <w:sz w:val="32"/>
      <w:szCs w:val="20"/>
      <w:lang w:eastAsia="en-US"/>
    </w:rPr>
  </w:style>
  <w:style w:type="paragraph" w:customStyle="1" w:styleId="30">
    <w:name w:val="ÎÞ¼ä¸ô"/>
    <w:basedOn w:val="27"/>
    <w:qFormat/>
    <w:uiPriority w:val="0"/>
    <w:pPr>
      <w:ind w:firstLine="200"/>
      <w:jc w:val="both"/>
    </w:pPr>
    <w:rPr>
      <w:rFonts w:ascii="Calibri" w:hAnsi="Calibri" w:eastAsia="Calibri"/>
      <w:sz w:val="21"/>
    </w:rPr>
  </w:style>
  <w:style w:type="character" w:customStyle="1" w:styleId="31">
    <w:name w:val="正文文本缩进 字符"/>
    <w:basedOn w:val="10"/>
    <w:link w:val="2"/>
    <w:qFormat/>
    <w:uiPriority w:val="0"/>
    <w:rPr>
      <w:rFonts w:ascii="Times New Roman" w:hAnsi="Times New Roman"/>
      <w:kern w:val="2"/>
      <w:sz w:val="21"/>
      <w:szCs w:val="24"/>
    </w:rPr>
  </w:style>
  <w:style w:type="character" w:customStyle="1" w:styleId="32">
    <w:name w:val="正文首行缩进 2 字符"/>
    <w:basedOn w:val="31"/>
    <w:link w:val="7"/>
    <w:qFormat/>
    <w:uiPriority w:val="0"/>
    <w:rPr>
      <w:rFonts w:ascii="Times New Roman" w:hAnsi="Times New Roman"/>
      <w:kern w:val="2"/>
      <w:sz w:val="21"/>
      <w:szCs w:val="22"/>
    </w:rPr>
  </w:style>
  <w:style w:type="character" w:customStyle="1" w:styleId="33">
    <w:name w:val="页眉 Char"/>
    <w:link w:val="4"/>
    <w:qFormat/>
    <w:uiPriority w:val="99"/>
    <w:rPr>
      <w:rFonts w:ascii="Times New Roman" w:hAnsi="Times New Roman"/>
      <w:kern w:val="2"/>
      <w:sz w:val="18"/>
      <w:szCs w:val="18"/>
    </w:rPr>
  </w:style>
  <w:style w:type="character" w:customStyle="1" w:styleId="34">
    <w:name w:val="页脚 Char"/>
    <w:link w:val="3"/>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epz</Company>
  <Pages>34</Pages>
  <Words>1955</Words>
  <Characters>11148</Characters>
  <Lines>92</Lines>
  <Paragraphs>26</Paragraphs>
  <TotalTime>0</TotalTime>
  <ScaleCrop>false</ScaleCrop>
  <LinksUpToDate>false</LinksUpToDate>
  <CharactersWithSpaces>13077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2020-02-11T01:52:00Z</dcterms:created>
  <dc:creator>lenovo</dc:creator>
  <cp:lastModifiedBy>Administrator</cp:lastModifiedBy>
  <dcterms:modified xsi:type="dcterms:W3CDTF">2023-11-03T01:01:59Z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