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caps w:val="0"/>
          <w:spacing w:val="8"/>
          <w:sz w:val="33"/>
          <w:szCs w:val="33"/>
        </w:rPr>
      </w:pPr>
      <w:r>
        <w:rPr>
          <w:rFonts w:hint="eastAsia" w:ascii="微软雅黑" w:hAnsi="微软雅黑" w:eastAsia="微软雅黑" w:cs="微软雅黑"/>
          <w:i w:val="0"/>
          <w:caps w:val="0"/>
          <w:spacing w:val="8"/>
          <w:sz w:val="33"/>
          <w:szCs w:val="33"/>
          <w:bdr w:val="none" w:color="auto" w:sz="0" w:space="0"/>
          <w:shd w:val="clear" w:fill="FFFFFF"/>
        </w:rPr>
        <w:t>财政部、税务总局联合发布《支持小微企业和个体工商户发展税费优惠政策指引（2.0）》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微软雅黑" w:hAnsi="微软雅黑" w:eastAsia="微软雅黑" w:cs="微软雅黑"/>
          <w:i w:val="0"/>
          <w:caps w:val="0"/>
          <w:spacing w:val="8"/>
          <w:sz w:val="0"/>
          <w:szCs w:val="0"/>
        </w:rPr>
      </w:pPr>
      <w:r>
        <w:rPr>
          <w:rFonts w:hint="eastAsia" w:ascii="微软雅黑" w:hAnsi="微软雅黑" w:eastAsia="微软雅黑" w:cs="微软雅黑"/>
          <w:i w:val="0"/>
          <w:caps w:val="0"/>
          <w:spacing w:val="8"/>
          <w:kern w:val="0"/>
          <w:sz w:val="22"/>
          <w:szCs w:val="22"/>
          <w:bdr w:val="none" w:color="auto" w:sz="0" w:space="0"/>
          <w:shd w:val="clear" w:fill="FFFFFF"/>
          <w:lang w:val="en-US" w:eastAsia="zh-CN" w:bidi="ar"/>
        </w:rPr>
        <w:t>国家税务总局</w:t>
      </w:r>
      <w:r>
        <w:rPr>
          <w:rFonts w:hint="eastAsia" w:ascii="微软雅黑" w:hAnsi="微软雅黑" w:eastAsia="微软雅黑" w:cs="微软雅黑"/>
          <w:i w:val="0"/>
          <w:caps w:val="0"/>
          <w:spacing w:val="8"/>
          <w:kern w:val="0"/>
          <w:sz w:val="0"/>
          <w:szCs w:val="0"/>
          <w:bdr w:val="none" w:color="auto" w:sz="0" w:space="0"/>
          <w:shd w:val="clear" w:fill="FFFFFF"/>
          <w:lang w:val="en-US" w:eastAsia="zh-CN" w:bidi="ar"/>
        </w:rPr>
        <w:t> </w:t>
      </w:r>
      <w:r>
        <w:rPr>
          <w:rFonts w:hint="eastAsia" w:ascii="微软雅黑" w:hAnsi="微软雅黑" w:eastAsia="微软雅黑" w:cs="微软雅黑"/>
          <w:i w:val="0"/>
          <w:caps w:val="0"/>
          <w:spacing w:val="8"/>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spacing w:val="8"/>
          <w:kern w:val="0"/>
          <w:sz w:val="22"/>
          <w:szCs w:val="22"/>
          <w:u w:val="none"/>
          <w:bdr w:val="none" w:color="auto" w:sz="0" w:space="0"/>
          <w:shd w:val="clear" w:fill="FFFFFF"/>
          <w:lang w:val="en-US" w:eastAsia="zh-CN" w:bidi="ar"/>
        </w:rPr>
        <w:instrText xml:space="preserve"> HYPERLINK "https://mp.weixin.qq.com/javascript:void(0);" </w:instrText>
      </w:r>
      <w:r>
        <w:rPr>
          <w:rFonts w:hint="eastAsia" w:ascii="微软雅黑" w:hAnsi="微软雅黑" w:eastAsia="微软雅黑" w:cs="微软雅黑"/>
          <w:i w:val="0"/>
          <w:caps w:val="0"/>
          <w:spacing w:val="8"/>
          <w:kern w:val="0"/>
          <w:sz w:val="22"/>
          <w:szCs w:val="22"/>
          <w:u w:val="none"/>
          <w:bdr w:val="none" w:color="auto" w:sz="0" w:space="0"/>
          <w:shd w:val="clear" w:fill="FFFFFF"/>
          <w:lang w:val="en-US" w:eastAsia="zh-CN" w:bidi="ar"/>
        </w:rPr>
        <w:fldChar w:fldCharType="separate"/>
      </w:r>
      <w:r>
        <w:rPr>
          <w:rStyle w:val="7"/>
          <w:rFonts w:hint="eastAsia" w:ascii="微软雅黑" w:hAnsi="微软雅黑" w:eastAsia="微软雅黑" w:cs="微软雅黑"/>
          <w:i w:val="0"/>
          <w:caps w:val="0"/>
          <w:spacing w:val="8"/>
          <w:sz w:val="22"/>
          <w:szCs w:val="22"/>
          <w:u w:val="none"/>
          <w:bdr w:val="none" w:color="auto" w:sz="0" w:space="0"/>
          <w:shd w:val="clear" w:fill="FFFFFF"/>
        </w:rPr>
        <w:t>河北税务服务号</w:t>
      </w:r>
      <w:r>
        <w:rPr>
          <w:rFonts w:hint="eastAsia" w:ascii="微软雅黑" w:hAnsi="微软雅黑" w:eastAsia="微软雅黑" w:cs="微软雅黑"/>
          <w:i w:val="0"/>
          <w:caps w:val="0"/>
          <w:spacing w:val="8"/>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spacing w:val="8"/>
          <w:kern w:val="0"/>
          <w:sz w:val="0"/>
          <w:szCs w:val="0"/>
          <w:bdr w:val="none" w:color="auto" w:sz="0" w:space="0"/>
          <w:shd w:val="clear" w:fill="FFFFFF"/>
          <w:lang w:val="en-US" w:eastAsia="zh-CN" w:bidi="ar"/>
        </w:rPr>
        <w:t> </w:t>
      </w:r>
      <w:r>
        <w:rPr>
          <w:rStyle w:val="6"/>
          <w:rFonts w:hint="eastAsia" w:ascii="微软雅黑" w:hAnsi="微软雅黑" w:eastAsia="微软雅黑" w:cs="微软雅黑"/>
          <w:i w:val="0"/>
          <w:caps w:val="0"/>
          <w:spacing w:val="8"/>
          <w:kern w:val="0"/>
          <w:sz w:val="22"/>
          <w:szCs w:val="22"/>
          <w:bdr w:val="none" w:color="auto" w:sz="0" w:space="0"/>
          <w:shd w:val="clear" w:fill="FFFFFF"/>
          <w:lang w:val="en-US" w:eastAsia="zh-CN" w:bidi="ar"/>
        </w:rPr>
        <w:t>2023-12-25 09:15</w:t>
      </w:r>
      <w:r>
        <w:rPr>
          <w:rFonts w:hint="eastAsia" w:ascii="微软雅黑" w:hAnsi="微软雅黑" w:eastAsia="微软雅黑" w:cs="微软雅黑"/>
          <w:i w:val="0"/>
          <w:caps w:val="0"/>
          <w:spacing w:val="8"/>
          <w:kern w:val="0"/>
          <w:sz w:val="0"/>
          <w:szCs w:val="0"/>
          <w:bdr w:val="none" w:color="auto" w:sz="0" w:space="0"/>
          <w:shd w:val="clear" w:fill="FFFFFF"/>
          <w:lang w:val="en-US" w:eastAsia="zh-CN" w:bidi="ar"/>
        </w:rPr>
        <w:t> </w:t>
      </w:r>
      <w:r>
        <w:rPr>
          <w:rStyle w:val="6"/>
          <w:rFonts w:hint="eastAsia" w:ascii="微软雅黑" w:hAnsi="微软雅黑" w:eastAsia="微软雅黑" w:cs="微软雅黑"/>
          <w:i w:val="0"/>
          <w:caps w:val="0"/>
          <w:spacing w:val="8"/>
          <w:kern w:val="0"/>
          <w:sz w:val="22"/>
          <w:szCs w:val="22"/>
          <w:bdr w:val="none" w:color="auto" w:sz="0" w:space="0"/>
          <w:shd w:val="clear" w:fill="FFFFFF"/>
          <w:lang w:val="en-US" w:eastAsia="zh-CN" w:bidi="ar"/>
        </w:rPr>
        <w:t>发表于河北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pPr>
      <w:r>
        <w:rPr>
          <w:rFonts w:hint="eastAsia" w:ascii="微软雅黑" w:hAnsi="微软雅黑" w:eastAsia="微软雅黑" w:cs="微软雅黑"/>
          <w:i w:val="0"/>
          <w:caps w:val="0"/>
          <w:spacing w:val="8"/>
          <w:bdr w:val="none" w:color="auto" w:sz="0" w:space="0"/>
          <w:shd w:val="clear" w:fill="FFFFFF"/>
        </w:rPr>
        <w:drawing>
          <wp:inline distT="0" distB="0" distL="114300" distR="114300">
            <wp:extent cx="4762500" cy="571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762500" cy="5715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微软雅黑" w:hAnsi="微软雅黑" w:eastAsia="微软雅黑" w:cs="微软雅黑"/>
          <w:i w:val="0"/>
          <w:caps w:val="0"/>
          <w:spacing w:val="8"/>
          <w:bdr w:val="none" w:color="auto" w:sz="0" w:space="0"/>
          <w:shd w:val="clear" w:fill="FFFFFF"/>
        </w:rPr>
        <w:t>12月19日，财政部、国家税务总局联合发布《支持小微企业和个体工商户发展税费优惠政策指引（2.0）》（以下简称《政策指引（2.0）》），梳理收录今年以来国家延续、优化、完善的支持小微企业和个体工商户发展的50项税费优惠政策，帮助纳税人缴费人知政策懂政策，及时享受政策红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微软雅黑" w:hAnsi="微软雅黑" w:eastAsia="微软雅黑" w:cs="微软雅黑"/>
          <w:i w:val="0"/>
          <w:caps w:val="0"/>
          <w:spacing w:val="8"/>
          <w:bdr w:val="none" w:color="auto" w:sz="0" w:space="0"/>
          <w:shd w:val="clear" w:fill="FFFFFF"/>
        </w:rPr>
        <w:t>今年以来，截至10月底，我国共出台延续、优化、完善的税费优惠政策77项。《政策指引（2.0）》对其中涉及小微企业和个体工商户的50项政策进行梳理汇总，包括减轻税费负担、推动普惠金融发展、支持创新创业、重点群体创业税收优惠等4个部分，分政策逐一介绍享受主体、优惠内容、享受条件、享受方式、政策依据、政策案例等，让纳税人缴费人享受政策更便捷、更省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firstLine="420"/>
        <w:jc w:val="both"/>
      </w:pPr>
      <w:r>
        <w:rPr>
          <w:rFonts w:hint="eastAsia" w:ascii="微软雅黑" w:hAnsi="微软雅黑" w:eastAsia="微软雅黑" w:cs="微软雅黑"/>
          <w:i w:val="0"/>
          <w:caps w:val="0"/>
          <w:spacing w:val="8"/>
          <w:bdr w:val="none" w:color="auto" w:sz="0" w:space="0"/>
          <w:shd w:val="clear" w:fill="FFFFFF"/>
        </w:rPr>
        <w:t>税务总局政策法规司司长、总局减税办常务副主任戴诗友表示，下一步，税务部门将及时跟进梳理相关政策，不断更新完善支持小微企业和个体工商户发展的税费优惠政策指引。同时，坚决扛牢落实税费优惠政策的政治责任，进一步优化升级优惠政策精准推送机制，积极开展延续政策的“一对一”精准推送，切实做到“政策找人”，不断提升税费优惠政策落实工作质效，助力企业健康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微软雅黑" w:hAnsi="微软雅黑" w:eastAsia="微软雅黑" w:cs="微软雅黑"/>
          <w:i w:val="0"/>
          <w:caps w:val="0"/>
          <w:spacing w:val="8"/>
          <w:bdr w:val="none" w:color="auto" w:sz="0" w:space="0"/>
          <w:shd w:val="clear" w:fill="FFFFFF"/>
        </w:rPr>
        <w:t>《支持小微企业和个体工商户发展税费优惠政策指引（2.0）》</w:t>
      </w:r>
      <w:r>
        <w:rPr>
          <w:rStyle w:val="5"/>
          <w:rFonts w:hint="eastAsia" w:ascii="微软雅黑" w:hAnsi="微软雅黑" w:eastAsia="微软雅黑" w:cs="微软雅黑"/>
          <w:i w:val="0"/>
          <w:caps w:val="0"/>
          <w:spacing w:val="7"/>
          <w:bdr w:val="none" w:color="auto" w:sz="0" w:space="0"/>
          <w:shd w:val="clear" w:fill="FFFFFF"/>
        </w:rPr>
        <w:t>目录</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br w:type="textWrapping"/>
      </w:r>
      <w:r>
        <w:rPr>
          <w:rStyle w:val="5"/>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一、减轻税费负担</w:t>
      </w: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　　　　</w:t>
      </w:r>
    </w:p>
    <w:p>
      <w:pPr>
        <w:keepNext w:val="0"/>
        <w:keepLines w:val="0"/>
        <w:widowControl/>
        <w:numPr>
          <w:ilvl w:val="0"/>
          <w:numId w:val="1"/>
        </w:numPr>
        <w:suppressLineNumbers w:val="0"/>
        <w:spacing w:before="0" w:beforeAutospacing="0" w:after="0" w:afterAutospacing="0"/>
        <w:ind w:left="0" w:right="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增值税起征点政策　　　　</w:t>
      </w:r>
    </w:p>
    <w:p>
      <w:pPr>
        <w:keepNext w:val="0"/>
        <w:keepLines w:val="0"/>
        <w:widowControl/>
        <w:numPr>
          <w:numId w:val="0"/>
        </w:numPr>
        <w:suppressLineNumbers w:val="0"/>
        <w:spacing w:before="0" w:beforeAutospacing="0" w:after="0" w:afterAutospacing="0"/>
        <w:ind w:right="0" w:rightChars="0"/>
        <w:jc w:val="left"/>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2.增值税小规模纳税人月销售额10万元以下免征增值税政策　　　　</w:t>
      </w:r>
    </w:p>
    <w:p>
      <w:pPr>
        <w:keepNext w:val="0"/>
        <w:keepLines w:val="0"/>
        <w:widowControl/>
        <w:numPr>
          <w:numId w:val="0"/>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3.增值税小规模纳税人适用3%征收率的应税销售收入减按1%征收增值税政策　　　　</w:t>
      </w:r>
    </w:p>
    <w:p>
      <w:pPr>
        <w:keepNext w:val="0"/>
        <w:keepLines w:val="0"/>
        <w:widowControl/>
        <w:numPr>
          <w:numId w:val="0"/>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4.增值税小规模纳税人、小型微利企业和个体工商户减半征收“六税两费”政策　　　　</w:t>
      </w:r>
    </w:p>
    <w:p>
      <w:pPr>
        <w:keepNext w:val="0"/>
        <w:keepLines w:val="0"/>
        <w:widowControl/>
        <w:numPr>
          <w:numId w:val="0"/>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5.小型微利企业减免企业所得税政策　　　　</w:t>
      </w:r>
    </w:p>
    <w:p>
      <w:pPr>
        <w:keepNext w:val="0"/>
        <w:keepLines w:val="0"/>
        <w:widowControl/>
        <w:numPr>
          <w:numId w:val="0"/>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6.个体工商户年应纳税所得额不超过200万元部分减半征收个人所得税政策　　　　</w:t>
      </w:r>
    </w:p>
    <w:p>
      <w:pPr>
        <w:keepNext w:val="0"/>
        <w:keepLines w:val="0"/>
        <w:widowControl/>
        <w:numPr>
          <w:numId w:val="0"/>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7.500万元以下设备器具一次性税前扣除政策　　　　</w:t>
      </w:r>
    </w:p>
    <w:p>
      <w:pPr>
        <w:keepNext w:val="0"/>
        <w:keepLines w:val="0"/>
        <w:widowControl/>
        <w:numPr>
          <w:ilvl w:val="0"/>
          <w:numId w:val="2"/>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符合条件的缴纳义务人减免残疾人就业保障金政策　　　　</w:t>
      </w:r>
    </w:p>
    <w:p>
      <w:pPr>
        <w:keepNext w:val="0"/>
        <w:keepLines w:val="0"/>
        <w:widowControl/>
        <w:numPr>
          <w:ilvl w:val="0"/>
          <w:numId w:val="2"/>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符合条件的缴纳义务人减征文化事业建设费政策　　　　</w:t>
      </w:r>
    </w:p>
    <w:p>
      <w:pPr>
        <w:keepNext w:val="0"/>
        <w:keepLines w:val="0"/>
        <w:widowControl/>
        <w:numPr>
          <w:ilvl w:val="0"/>
          <w:numId w:val="2"/>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符合条件的增值税小规模纳税人免征文化事业建设费政策　　　　</w:t>
      </w:r>
    </w:p>
    <w:p>
      <w:pPr>
        <w:keepNext w:val="0"/>
        <w:keepLines w:val="0"/>
        <w:widowControl/>
        <w:numPr>
          <w:ilvl w:val="0"/>
          <w:numId w:val="2"/>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符合条件的缴纳义务人免征有关政府性基金政策　　　　</w:t>
      </w:r>
    </w:p>
    <w:p>
      <w:pPr>
        <w:keepNext w:val="0"/>
        <w:keepLines w:val="0"/>
        <w:widowControl/>
        <w:numPr>
          <w:ilvl w:val="0"/>
          <w:numId w:val="2"/>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阶段性降低失业保险、工伤保险费率政策　　</w:t>
      </w:r>
    </w:p>
    <w:p>
      <w:pPr>
        <w:keepNext w:val="0"/>
        <w:keepLines w:val="0"/>
        <w:widowControl/>
        <w:numPr>
          <w:ilvl w:val="0"/>
          <w:numId w:val="3"/>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Style w:val="5"/>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推动普惠金融发展</w:t>
      </w: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　　　　</w:t>
      </w:r>
    </w:p>
    <w:p>
      <w:pPr>
        <w:keepNext w:val="0"/>
        <w:keepLines w:val="0"/>
        <w:widowControl/>
        <w:numPr>
          <w:ilvl w:val="0"/>
          <w:numId w:val="4"/>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金融机构小微企业及个体工商户1000万元及以下小额贷款利息收入免征增值税政策　　　　</w:t>
      </w:r>
    </w:p>
    <w:p>
      <w:pPr>
        <w:keepNext w:val="0"/>
        <w:keepLines w:val="0"/>
        <w:widowControl/>
        <w:numPr>
          <w:ilvl w:val="0"/>
          <w:numId w:val="4"/>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金融机构小微企业及个体工商户100万元及以下小额贷款利息收入免征增值税政策　　　　</w:t>
      </w:r>
    </w:p>
    <w:p>
      <w:pPr>
        <w:keepNext w:val="0"/>
        <w:keepLines w:val="0"/>
        <w:widowControl/>
        <w:numPr>
          <w:ilvl w:val="0"/>
          <w:numId w:val="4"/>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为农户、小微企业及个体工商户提供融资担保及再担保业务免征增值税政策　　　　</w:t>
      </w:r>
    </w:p>
    <w:p>
      <w:pPr>
        <w:keepNext w:val="0"/>
        <w:keepLines w:val="0"/>
        <w:widowControl/>
        <w:numPr>
          <w:ilvl w:val="0"/>
          <w:numId w:val="4"/>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金融机构农户贷款利息收入免征增值税政策　　　　</w:t>
      </w:r>
    </w:p>
    <w:p>
      <w:pPr>
        <w:keepNext w:val="0"/>
        <w:keepLines w:val="0"/>
        <w:widowControl/>
        <w:numPr>
          <w:ilvl w:val="0"/>
          <w:numId w:val="4"/>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小额贷款公司取得的农户小额贷款利息收入免征增值税政策　　　　18.金融机构与小微企业签订借款合同免征印花税政策　　　　</w:t>
      </w:r>
    </w:p>
    <w:p>
      <w:pPr>
        <w:keepNext w:val="0"/>
        <w:keepLines w:val="0"/>
        <w:widowControl/>
        <w:numPr>
          <w:ilvl w:val="0"/>
          <w:numId w:val="5"/>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金融企业涉农和中小企业贷款损失准备金税前扣除政策　　　　</w:t>
      </w:r>
    </w:p>
    <w:p>
      <w:pPr>
        <w:keepNext w:val="0"/>
        <w:keepLines w:val="0"/>
        <w:widowControl/>
        <w:numPr>
          <w:ilvl w:val="0"/>
          <w:numId w:val="5"/>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金融企业涉农和中小企业贷款损失税前扣除政策　　　　</w:t>
      </w:r>
    </w:p>
    <w:p>
      <w:pPr>
        <w:keepNext w:val="0"/>
        <w:keepLines w:val="0"/>
        <w:widowControl/>
        <w:numPr>
          <w:ilvl w:val="0"/>
          <w:numId w:val="5"/>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中小企业融资（信用）担保机构有关准备金企业所得税税前扣除政策　　　　22.农牧保险免征增值税政策　　　　</w:t>
      </w:r>
    </w:p>
    <w:p>
      <w:pPr>
        <w:keepNext w:val="0"/>
        <w:keepLines w:val="0"/>
        <w:widowControl/>
        <w:numPr>
          <w:ilvl w:val="0"/>
          <w:numId w:val="6"/>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为农户提供小额贷款的利息收入减计收入总额政策　　　　</w:t>
      </w:r>
    </w:p>
    <w:p>
      <w:pPr>
        <w:keepNext w:val="0"/>
        <w:keepLines w:val="0"/>
        <w:widowControl/>
        <w:numPr>
          <w:ilvl w:val="0"/>
          <w:numId w:val="6"/>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小额贷款公司贷款损失准备金税前扣除政策　　　　</w:t>
      </w:r>
    </w:p>
    <w:p>
      <w:pPr>
        <w:keepNext w:val="0"/>
        <w:keepLines w:val="0"/>
        <w:widowControl/>
        <w:numPr>
          <w:ilvl w:val="0"/>
          <w:numId w:val="6"/>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为种植业、养殖业提供保险业务取得的保费收入减计收入总额政策　　</w:t>
      </w:r>
      <w:r>
        <w:rPr>
          <w:rStyle w:val="5"/>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三、支持创新创业</w:t>
      </w: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　　　　</w:t>
      </w:r>
    </w:p>
    <w:p>
      <w:pPr>
        <w:keepNext w:val="0"/>
        <w:keepLines w:val="0"/>
        <w:widowControl/>
        <w:numPr>
          <w:ilvl w:val="0"/>
          <w:numId w:val="6"/>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创业投资企业和天使投资个人有关税收政策　　　　</w:t>
      </w:r>
    </w:p>
    <w:p>
      <w:pPr>
        <w:keepNext w:val="0"/>
        <w:keepLines w:val="0"/>
        <w:widowControl/>
        <w:numPr>
          <w:ilvl w:val="0"/>
          <w:numId w:val="6"/>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创业投资企业灵活选择个人合伙人所得税核算方式政策　　　　</w:t>
      </w:r>
    </w:p>
    <w:p>
      <w:pPr>
        <w:keepNext w:val="0"/>
        <w:keepLines w:val="0"/>
        <w:widowControl/>
        <w:numPr>
          <w:ilvl w:val="0"/>
          <w:numId w:val="6"/>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创投企业投资未上市的中小高新技术企业按比例抵扣应纳税所得额政策　　　　29.有限合伙制创业投资企业法人合伙人投资未上市的中小高新技术企业按比例抵扣应纳税所得额政策　　　　</w:t>
      </w:r>
    </w:p>
    <w:p>
      <w:pPr>
        <w:keepNext w:val="0"/>
        <w:keepLines w:val="0"/>
        <w:widowControl/>
        <w:numPr>
          <w:ilvl w:val="0"/>
          <w:numId w:val="7"/>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中小高新技术企业向个人股东转增股本分期缴纳个人所得税政策　　　　31.研发费用加计扣除政策　　　　</w:t>
      </w:r>
    </w:p>
    <w:p>
      <w:pPr>
        <w:keepNext w:val="0"/>
        <w:keepLines w:val="0"/>
        <w:widowControl/>
        <w:numPr>
          <w:ilvl w:val="0"/>
          <w:numId w:val="8"/>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科技企业孵化器和众创空间免征增值税政策</w:t>
      </w: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33.科技企业孵化器和众创空间免征房产税政策</w:t>
      </w: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34.科技企业孵化器和众创空间免征城镇土地使用税政策　　　　</w:t>
      </w:r>
    </w:p>
    <w:p>
      <w:pPr>
        <w:keepNext w:val="0"/>
        <w:keepLines w:val="0"/>
        <w:widowControl/>
        <w:numPr>
          <w:ilvl w:val="0"/>
          <w:numId w:val="9"/>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大学科技园免征增值税政策　　　　</w:t>
      </w:r>
    </w:p>
    <w:p>
      <w:pPr>
        <w:keepNext w:val="0"/>
        <w:keepLines w:val="0"/>
        <w:widowControl/>
        <w:numPr>
          <w:ilvl w:val="0"/>
          <w:numId w:val="9"/>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大学科技园免征房产税政策　　　　</w:t>
      </w:r>
    </w:p>
    <w:p>
      <w:pPr>
        <w:keepNext w:val="0"/>
        <w:keepLines w:val="0"/>
        <w:widowControl/>
        <w:numPr>
          <w:ilvl w:val="0"/>
          <w:numId w:val="9"/>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大学科技园免征城镇土地使用税政策　　</w:t>
      </w:r>
    </w:p>
    <w:p>
      <w:pPr>
        <w:keepNext w:val="0"/>
        <w:keepLines w:val="0"/>
        <w:widowControl/>
        <w:numPr>
          <w:ilvl w:val="0"/>
          <w:numId w:val="10"/>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Style w:val="5"/>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重点群体创业税收优惠</w:t>
      </w: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重点群体创业税费减免政策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退役士兵创业税费减免政策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吸纳重点群体就业税费减免政策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吸纳退役士兵就业税费减免政策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随军家属创业免征增值税政策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随军家属创业免征个人所得税政策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安置随军家属就业的企业免征增值税政策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军队转业干部创业免征增值税政策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自主择业的军队转业干部免征个人所得税政策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安置军队转业干部就业的企业免征增值税政策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残疾人创业免征增值税政策　　　　</w:t>
      </w:r>
    </w:p>
    <w:p>
      <w:pPr>
        <w:keepNext w:val="0"/>
        <w:keepLines w:val="0"/>
        <w:widowControl/>
        <w:numPr>
          <w:ilvl w:val="0"/>
          <w:numId w:val="11"/>
        </w:numPr>
        <w:suppressLineNumbers w:val="0"/>
        <w:spacing w:before="0" w:beforeAutospacing="0" w:after="0" w:afterAutospacing="0"/>
        <w:ind w:right="0" w:rightChars="0"/>
        <w:jc w:val="left"/>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pPr>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安置残疾人就业的单位和个体工商户增值税即征即退政策　　　　</w:t>
      </w:r>
    </w:p>
    <w:p>
      <w:pPr>
        <w:keepNext w:val="0"/>
        <w:keepLines w:val="0"/>
        <w:widowControl/>
        <w:numPr>
          <w:numId w:val="0"/>
        </w:numPr>
        <w:suppressLineNumbers w:val="0"/>
        <w:spacing w:before="0" w:beforeAutospacing="0" w:after="0" w:afterAutospacing="0"/>
        <w:ind w:right="0" w:rightChars="0"/>
        <w:jc w:val="left"/>
      </w:pPr>
      <w:bookmarkStart w:id="0" w:name="_GoBack"/>
      <w:bookmarkEnd w:id="0"/>
      <w:r>
        <w:rPr>
          <w:rFonts w:hint="eastAsia" w:ascii="微软雅黑" w:hAnsi="微软雅黑" w:eastAsia="微软雅黑" w:cs="微软雅黑"/>
          <w:i w:val="0"/>
          <w:caps w:val="0"/>
          <w:spacing w:val="8"/>
          <w:kern w:val="0"/>
          <w:sz w:val="24"/>
          <w:szCs w:val="24"/>
          <w:bdr w:val="none" w:color="auto" w:sz="0" w:space="0"/>
          <w:shd w:val="clear" w:fill="FFFFFF"/>
          <w:lang w:val="en-US" w:eastAsia="zh-CN" w:bidi="ar"/>
        </w:rPr>
        <w:t>50.企业安置残疾人员所支付工资加计扣除政策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A8942"/>
    <w:multiLevelType w:val="singleLevel"/>
    <w:tmpl w:val="658A8942"/>
    <w:lvl w:ilvl="0" w:tentative="0">
      <w:start w:val="1"/>
      <w:numFmt w:val="decimal"/>
      <w:suff w:val="nothing"/>
      <w:lvlText w:val="%1."/>
      <w:lvlJc w:val="left"/>
    </w:lvl>
  </w:abstractNum>
  <w:abstractNum w:abstractNumId="1">
    <w:nsid w:val="658A8963"/>
    <w:multiLevelType w:val="singleLevel"/>
    <w:tmpl w:val="658A8963"/>
    <w:lvl w:ilvl="0" w:tentative="0">
      <w:start w:val="8"/>
      <w:numFmt w:val="decimal"/>
      <w:suff w:val="nothing"/>
      <w:lvlText w:val="%1."/>
      <w:lvlJc w:val="left"/>
    </w:lvl>
  </w:abstractNum>
  <w:abstractNum w:abstractNumId="2">
    <w:nsid w:val="658A8984"/>
    <w:multiLevelType w:val="singleLevel"/>
    <w:tmpl w:val="658A8984"/>
    <w:lvl w:ilvl="0" w:tentative="0">
      <w:start w:val="2"/>
      <w:numFmt w:val="chineseCounting"/>
      <w:suff w:val="nothing"/>
      <w:lvlText w:val="%1、"/>
      <w:lvlJc w:val="left"/>
    </w:lvl>
  </w:abstractNum>
  <w:abstractNum w:abstractNumId="3">
    <w:nsid w:val="658A8992"/>
    <w:multiLevelType w:val="singleLevel"/>
    <w:tmpl w:val="658A8992"/>
    <w:lvl w:ilvl="0" w:tentative="0">
      <w:start w:val="13"/>
      <w:numFmt w:val="decimal"/>
      <w:suff w:val="nothing"/>
      <w:lvlText w:val="%1."/>
      <w:lvlJc w:val="left"/>
    </w:lvl>
  </w:abstractNum>
  <w:abstractNum w:abstractNumId="4">
    <w:nsid w:val="658A89B4"/>
    <w:multiLevelType w:val="singleLevel"/>
    <w:tmpl w:val="658A89B4"/>
    <w:lvl w:ilvl="0" w:tentative="0">
      <w:start w:val="19"/>
      <w:numFmt w:val="decimal"/>
      <w:suff w:val="nothing"/>
      <w:lvlText w:val="%1."/>
      <w:lvlJc w:val="left"/>
    </w:lvl>
  </w:abstractNum>
  <w:abstractNum w:abstractNumId="5">
    <w:nsid w:val="658A89CB"/>
    <w:multiLevelType w:val="singleLevel"/>
    <w:tmpl w:val="658A89CB"/>
    <w:lvl w:ilvl="0" w:tentative="0">
      <w:start w:val="23"/>
      <w:numFmt w:val="decimal"/>
      <w:suff w:val="nothing"/>
      <w:lvlText w:val="%1."/>
      <w:lvlJc w:val="left"/>
    </w:lvl>
  </w:abstractNum>
  <w:abstractNum w:abstractNumId="6">
    <w:nsid w:val="658A8A0F"/>
    <w:multiLevelType w:val="singleLevel"/>
    <w:tmpl w:val="658A8A0F"/>
    <w:lvl w:ilvl="0" w:tentative="0">
      <w:start w:val="30"/>
      <w:numFmt w:val="decimal"/>
      <w:suff w:val="nothing"/>
      <w:lvlText w:val="%1."/>
      <w:lvlJc w:val="left"/>
    </w:lvl>
  </w:abstractNum>
  <w:abstractNum w:abstractNumId="7">
    <w:nsid w:val="658A8A24"/>
    <w:multiLevelType w:val="singleLevel"/>
    <w:tmpl w:val="658A8A24"/>
    <w:lvl w:ilvl="0" w:tentative="0">
      <w:start w:val="32"/>
      <w:numFmt w:val="decimal"/>
      <w:suff w:val="nothing"/>
      <w:lvlText w:val="%1."/>
      <w:lvlJc w:val="left"/>
    </w:lvl>
  </w:abstractNum>
  <w:abstractNum w:abstractNumId="8">
    <w:nsid w:val="658A8A35"/>
    <w:multiLevelType w:val="singleLevel"/>
    <w:tmpl w:val="658A8A35"/>
    <w:lvl w:ilvl="0" w:tentative="0">
      <w:start w:val="35"/>
      <w:numFmt w:val="decimal"/>
      <w:suff w:val="nothing"/>
      <w:lvlText w:val="%1."/>
      <w:lvlJc w:val="left"/>
    </w:lvl>
  </w:abstractNum>
  <w:abstractNum w:abstractNumId="9">
    <w:nsid w:val="658A8A4D"/>
    <w:multiLevelType w:val="singleLevel"/>
    <w:tmpl w:val="658A8A4D"/>
    <w:lvl w:ilvl="0" w:tentative="0">
      <w:start w:val="4"/>
      <w:numFmt w:val="chineseCounting"/>
      <w:suff w:val="nothing"/>
      <w:lvlText w:val="%1、"/>
      <w:lvlJc w:val="left"/>
    </w:lvl>
  </w:abstractNum>
  <w:abstractNum w:abstractNumId="10">
    <w:nsid w:val="658A8A5D"/>
    <w:multiLevelType w:val="singleLevel"/>
    <w:tmpl w:val="658A8A5D"/>
    <w:lvl w:ilvl="0" w:tentative="0">
      <w:start w:val="38"/>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760D5"/>
    <w:rsid w:val="1AC76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2023-12-26T08:02:00Z</dcterms:created>
  <dc:creator>Administrator</dc:creator>
  <cp:lastModifiedBy>Administrator</cp:lastModifiedBy>
  <dcterms:modified xsi:type="dcterms:W3CDTF">2023-12-26T08:07:23Z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