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4AB36">
      <w:pPr>
        <w:widowControl/>
        <w:jc w:val="left"/>
      </w:pPr>
      <w:bookmarkStart w:id="2" w:name="_GoBack"/>
      <w:bookmarkEnd w:id="2"/>
    </w:p>
    <w:p w14:paraId="27CC90E8">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14:paraId="7CE4B205">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54AE111">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54AE111">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6C8E776E">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30889C7D">
      <w:pPr>
        <w:widowControl/>
        <w:jc w:val="left"/>
      </w:pPr>
    </w:p>
    <w:p w14:paraId="03E8460C">
      <w:pPr>
        <w:widowControl/>
        <w:jc w:val="left"/>
      </w:pPr>
    </w:p>
    <w:p w14:paraId="00D3FDA6">
      <w:pPr>
        <w:widowControl/>
        <w:jc w:val="left"/>
      </w:pPr>
    </w:p>
    <w:p w14:paraId="5FB68120">
      <w:pPr>
        <w:widowControl/>
        <w:jc w:val="left"/>
      </w:pPr>
    </w:p>
    <w:p w14:paraId="77848ED3">
      <w:pPr>
        <w:widowControl/>
        <w:jc w:val="left"/>
      </w:pPr>
    </w:p>
    <w:p w14:paraId="33683707">
      <w:pPr>
        <w:widowControl/>
        <w:jc w:val="left"/>
      </w:pPr>
    </w:p>
    <w:p w14:paraId="4013E37B">
      <w:pPr>
        <w:widowControl/>
        <w:jc w:val="left"/>
      </w:pPr>
    </w:p>
    <w:p w14:paraId="560ABAA7">
      <w:pPr>
        <w:widowControl/>
        <w:jc w:val="left"/>
      </w:pPr>
    </w:p>
    <w:p w14:paraId="74A771C1">
      <w:pPr>
        <w:widowControl/>
        <w:jc w:val="left"/>
      </w:pPr>
    </w:p>
    <w:p w14:paraId="0A312E19">
      <w:pPr>
        <w:widowControl/>
        <w:jc w:val="left"/>
      </w:pPr>
    </w:p>
    <w:p w14:paraId="1BC238F8">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秦皇岛经济技术开发区交通运输局运输管理站</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秦皇岛经济技术开发区交通运输局运输管理站</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348004</w:t>
      </w:r>
    </w:p>
    <w:p w14:paraId="3DA8C78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p>
    <w:p w14:paraId="04CD5ACE">
      <w:pPr>
        <w:spacing w:line="600" w:lineRule="auto"/>
        <w:rPr>
          <w:rFonts w:hint="eastAsia" w:ascii="楷体_GB2312" w:hAnsi="楷体_GB2312" w:eastAsia="楷体_GB2312" w:cs="楷体_GB2312"/>
          <w:color w:val="000000"/>
          <w:sz w:val="40"/>
          <w:szCs w:val="40"/>
        </w:rPr>
      </w:pPr>
    </w:p>
    <w:p w14:paraId="7591C1E6">
      <w:pPr>
        <w:spacing w:line="600" w:lineRule="auto"/>
        <w:rPr>
          <w:rFonts w:hint="eastAsia" w:ascii="楷体_GB2312" w:hAnsi="楷体_GB2312" w:eastAsia="楷体_GB2312" w:cs="楷体_GB2312"/>
          <w:color w:val="000000"/>
          <w:sz w:val="40"/>
          <w:szCs w:val="40"/>
        </w:rPr>
      </w:pPr>
    </w:p>
    <w:p w14:paraId="704A904B">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二〇二四年九月</w:t>
      </w:r>
    </w:p>
    <w:p w14:paraId="7F7BA2DF">
      <w:pPr>
        <w:spacing w:line="600" w:lineRule="auto"/>
        <w:jc w:val="center"/>
        <w:rPr>
          <w:rFonts w:hint="eastAsia" w:ascii="楷体" w:hAnsi="楷体" w:eastAsia="楷体" w:cs="楷体_GB2312"/>
          <w:color w:val="000000"/>
          <w:sz w:val="40"/>
          <w:szCs w:val="40"/>
        </w:rPr>
      </w:pPr>
    </w:p>
    <w:p w14:paraId="778E8427">
      <w:pPr>
        <w:tabs>
          <w:tab w:val="left" w:pos="2728"/>
        </w:tabs>
        <w:jc w:val="center"/>
        <w:rPr>
          <w:rFonts w:ascii="黑体" w:hAnsi="Times New Roman" w:eastAsia="黑体" w:cs="Times New Roman"/>
          <w:sz w:val="48"/>
          <w:szCs w:val="48"/>
        </w:rPr>
      </w:pPr>
    </w:p>
    <w:p w14:paraId="3170D690">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0E418AB">
      <w:pPr>
        <w:widowControl/>
        <w:spacing w:after="0" w:line="360" w:lineRule="auto"/>
        <w:ind w:firstLine="640" w:firstLineChars="200"/>
        <w:rPr>
          <w:rFonts w:ascii="Times New Roman" w:hAnsi="Times New Roman" w:eastAsia="黑体" w:cs="Times New Roman"/>
          <w:sz w:val="32"/>
          <w:szCs w:val="32"/>
        </w:rPr>
      </w:pPr>
    </w:p>
    <w:p w14:paraId="59934777">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单位</w:t>
      </w:r>
      <w:r>
        <w:rPr>
          <w:rFonts w:ascii="Times New Roman" w:hAnsi="Times New Roman" w:eastAsia="黑体" w:cs="Times New Roman"/>
          <w:sz w:val="32"/>
          <w:szCs w:val="32"/>
        </w:rPr>
        <w:t>概况</w:t>
      </w:r>
    </w:p>
    <w:p w14:paraId="022976ED">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单位职责</w:t>
      </w:r>
    </w:p>
    <w:p w14:paraId="0BC41BA5">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7D654F99">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32AB9C6E">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7C9CFC40">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D8630B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1007B3ED">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128E3D9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5DE00C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60CFD4B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202039D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0F5799EA">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2EB8715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74DFD297">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499EE47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6FAF7B93">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3A24A825">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2B53631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390D466B">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4D53414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0DFC026F">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7F6144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6757562">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485AB0D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119C6DA3">
      <w:pPr>
        <w:rPr>
          <w:rFonts w:ascii="Times New Roman" w:hAnsi="Times New Roman" w:eastAsia="黑体" w:cs="Times New Roman"/>
          <w:sz w:val="32"/>
          <w:szCs w:val="32"/>
        </w:rPr>
      </w:pPr>
    </w:p>
    <w:p w14:paraId="2112A5EB">
      <w:pPr>
        <w:rPr>
          <w:rFonts w:ascii="Times New Roman" w:hAnsi="Times New Roman" w:eastAsia="黑体" w:cs="Times New Roman"/>
          <w:sz w:val="32"/>
          <w:szCs w:val="32"/>
        </w:rPr>
      </w:pPr>
    </w:p>
    <w:p w14:paraId="71EAC14A">
      <w:pPr>
        <w:rPr>
          <w:rFonts w:ascii="Times New Roman" w:hAnsi="Times New Roman" w:eastAsia="黑体" w:cs="Times New Roman"/>
          <w:sz w:val="32"/>
          <w:szCs w:val="32"/>
        </w:rPr>
      </w:pPr>
    </w:p>
    <w:p w14:paraId="4684C7B0">
      <w:pPr>
        <w:rPr>
          <w:rFonts w:ascii="Times New Roman" w:hAnsi="Times New Roman" w:eastAsia="黑体" w:cs="Times New Roman"/>
          <w:sz w:val="32"/>
          <w:szCs w:val="32"/>
        </w:rPr>
      </w:pPr>
    </w:p>
    <w:p w14:paraId="29AF7098">
      <w:pPr>
        <w:rPr>
          <w:rFonts w:ascii="Times New Roman" w:hAnsi="Times New Roman" w:eastAsia="黑体" w:cs="Times New Roman"/>
          <w:sz w:val="32"/>
          <w:szCs w:val="32"/>
        </w:rPr>
      </w:pPr>
    </w:p>
    <w:p w14:paraId="109206EB">
      <w:pPr>
        <w:jc w:val="center"/>
        <w:rPr>
          <w:rFonts w:ascii="Times New Roman" w:hAnsi="Times New Roman" w:eastAsia="黑体" w:cs="Times New Roman"/>
          <w:sz w:val="32"/>
          <w:szCs w:val="32"/>
        </w:rPr>
      </w:pPr>
    </w:p>
    <w:p w14:paraId="2A541A5F">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14:paraId="722D7EC4">
      <w:pPr>
        <w:spacing w:line="360" w:lineRule="auto"/>
        <w:rPr>
          <w:rFonts w:ascii="Arial" w:hAnsi="Arial" w:eastAsia="Arial" w:cs="Arial"/>
          <w:color w:val="000000"/>
          <w:sz w:val="18"/>
          <w:szCs w:val="18"/>
          <w:shd w:val="clear" w:color="auto" w:fill="FFFFFF"/>
        </w:rPr>
      </w:pPr>
    </w:p>
    <w:p w14:paraId="56652A33">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210D041">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5A120C67">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172AD81">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776EF6D">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18CBFFF8">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65278420">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3804BC92">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28C2EF4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62402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43C4F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7E8762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C08722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103BC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D2139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E45661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6A2D9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64AEC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4922B2F">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8FA5E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DD7EF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5CABF6">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2D101843">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单位</w:t>
      </w:r>
      <w:r>
        <w:rPr>
          <w:rFonts w:hint="eastAsia" w:ascii="黑体" w:hAnsi="黑体" w:eastAsia="黑体"/>
          <w:sz w:val="32"/>
          <w:szCs w:val="32"/>
          <w:shd w:val="clear" w:color="auto" w:fill="FFFFFF"/>
        </w:rPr>
        <w:t>职责</w:t>
      </w:r>
    </w:p>
    <w:p w14:paraId="45747F0B">
      <w:pPr>
        <w:snapToGrid w:val="0"/>
        <w:spacing w:line="520" w:lineRule="exact"/>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rPr>
        <w:t>编制全区公路、地方道路、地方铁路、民航发展、物流及交通运输行业发展规划和年度计划，并监督实施；负责交通运输综合交通运输体系建设，综合业务管理和综合事物管理；负责区内国省干线公路及其设施的建设；负责区内国省干线公路及其设施的养护管理；负责区内地方道路建设、管理、养护，技术指导和工程建设质量的监督；负责全区道路运输、交通行业管理、指导和协调工作；负责区内运输市场、公共交通、出租车、汽车维修市场、车辆技术检测、汽车驾驶学校和驾驶员培训工作的行业管理、指导和协调工作；参与区内港口建设规划与管理；完成开发区工委、管委以及市交通运输局赋予的其他工作。</w:t>
      </w:r>
    </w:p>
    <w:p w14:paraId="0A1C9F96">
      <w:pPr>
        <w:numPr>
          <w:ilvl w:val="0"/>
          <w:numId w:val="2"/>
        </w:numPr>
        <w:snapToGrid w:val="0"/>
        <w:spacing w:line="52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机构情况，包括当年变动情况及原因。</w:t>
      </w:r>
    </w:p>
    <w:p w14:paraId="73387FE4">
      <w:pPr>
        <w:numPr>
          <w:ilvl w:val="0"/>
          <w:numId w:val="0"/>
        </w:numPr>
        <w:snapToGrid w:val="0"/>
        <w:spacing w:line="520" w:lineRule="exact"/>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无机构情况变动。</w:t>
      </w:r>
    </w:p>
    <w:p w14:paraId="0263D03A">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14:paraId="741A652F">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lang w:val="en-US" w:eastAsia="zh-CN"/>
        </w:rPr>
        <w:t>秦皇岛开发区运输管理站</w:t>
      </w:r>
      <w:r>
        <w:rPr>
          <w:rFonts w:ascii="仿宋" w:hAnsi="仿宋" w:eastAsia="仿宋" w:cs="仿宋_GB2312"/>
          <w:sz w:val="32"/>
          <w:szCs w:val="32"/>
          <w:shd w:val="clear" w:color="auto" w:fill="FFFFFF"/>
        </w:rPr>
        <w:t>”</w:t>
      </w:r>
      <w:r>
        <w:rPr>
          <w:rFonts w:ascii="仿宋" w:hAnsi="仿宋" w:eastAsia="仿宋" w:cs="仿宋_GB2312"/>
          <w:color w:val="auto"/>
          <w:sz w:val="32"/>
          <w:szCs w:val="32"/>
          <w:highlight w:val="none"/>
          <w:shd w:val="clear" w:color="auto" w:fill="FFFFFF"/>
        </w:rPr>
        <w:t xml:space="preserve">）共 </w:t>
      </w:r>
      <w:r>
        <w:rPr>
          <w:rFonts w:hint="eastAsia" w:ascii="仿宋" w:hAnsi="仿宋" w:eastAsia="仿宋" w:cs="仿宋_GB2312"/>
          <w:color w:val="auto"/>
          <w:sz w:val="32"/>
          <w:szCs w:val="32"/>
          <w:highlight w:val="none"/>
          <w:shd w:val="clear" w:color="auto" w:fill="FFFFFF"/>
          <w:lang w:val="en-US" w:eastAsia="zh-CN"/>
        </w:rPr>
        <w:t>1</w:t>
      </w:r>
      <w:r>
        <w:rPr>
          <w:rFonts w:ascii="仿宋" w:hAnsi="仿宋" w:eastAsia="仿宋" w:cs="仿宋_GB2312"/>
          <w:color w:val="auto"/>
          <w:sz w:val="32"/>
          <w:szCs w:val="32"/>
          <w:highlight w:val="none"/>
          <w:shd w:val="clear" w:color="auto" w:fill="FFFFFF"/>
        </w:rPr>
        <w:t>个，</w:t>
      </w:r>
      <w:r>
        <w:rPr>
          <w:rFonts w:ascii="仿宋" w:hAnsi="仿宋" w:eastAsia="仿宋" w:cs="仿宋_GB2312"/>
          <w:color w:val="auto"/>
          <w:sz w:val="32"/>
          <w:szCs w:val="32"/>
          <w:shd w:val="clear" w:color="auto" w:fill="FFFFFF"/>
        </w:rPr>
        <w:t>具</w:t>
      </w:r>
      <w:r>
        <w:rPr>
          <w:rFonts w:ascii="仿宋" w:hAnsi="仿宋" w:eastAsia="仿宋" w:cs="仿宋_GB2312"/>
          <w:sz w:val="32"/>
          <w:szCs w:val="32"/>
          <w:shd w:val="clear" w:color="auto" w:fill="FFFFFF"/>
        </w:rPr>
        <w:t>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096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B3B2CE">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4DF64C5">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3929D4E6">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14D954CC">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0DE7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23D05581">
            <w:pPr>
              <w:spacing w:line="560" w:lineRule="exact"/>
              <w:jc w:val="center"/>
              <w:rPr>
                <w:rFonts w:hint="eastAsia" w:ascii="仿宋" w:hAnsi="仿宋" w:eastAsia="仿宋" w:cs="ArialUnicodeMS"/>
                <w:sz w:val="28"/>
                <w:szCs w:val="28"/>
                <w:lang w:eastAsia="zh-CN"/>
              </w:rPr>
            </w:pPr>
            <w:r>
              <w:rPr>
                <w:rFonts w:hint="eastAsia" w:ascii="仿宋" w:hAnsi="仿宋" w:eastAsia="仿宋" w:cs="ArialUnicodeMS"/>
                <w:sz w:val="28"/>
                <w:szCs w:val="28"/>
                <w:lang w:val="en-US" w:eastAsia="zh-CN"/>
              </w:rPr>
              <w:t>1</w:t>
            </w:r>
          </w:p>
        </w:tc>
        <w:tc>
          <w:tcPr>
            <w:tcW w:w="3485" w:type="dxa"/>
            <w:vAlign w:val="center"/>
          </w:tcPr>
          <w:p w14:paraId="0A6CE97E">
            <w:pPr>
              <w:spacing w:line="560" w:lineRule="exact"/>
              <w:rPr>
                <w:rFonts w:hint="eastAsia" w:ascii="仿宋" w:hAnsi="仿宋" w:eastAsia="仿宋" w:cs="ArialUnicodeMS"/>
                <w:sz w:val="28"/>
                <w:szCs w:val="28"/>
              </w:rPr>
            </w:pPr>
            <w:r>
              <w:rPr>
                <w:rFonts w:hint="eastAsia" w:ascii="仿宋" w:hAnsi="仿宋" w:eastAsia="仿宋" w:cs="ArialUnicodeMS"/>
                <w:sz w:val="28"/>
                <w:szCs w:val="28"/>
                <w:highlight w:val="none"/>
                <w:lang w:val="en-US" w:eastAsia="zh-CN"/>
              </w:rPr>
              <w:t>秦皇岛经济技术开发区交通运输局运输管理站</w:t>
            </w:r>
            <w:r>
              <w:rPr>
                <w:rFonts w:hint="eastAsia" w:ascii="仿宋" w:hAnsi="仿宋" w:eastAsia="仿宋" w:cs="ArialUnicodeMS"/>
                <w:sz w:val="28"/>
                <w:szCs w:val="28"/>
                <w:highlight w:val="none"/>
              </w:rPr>
              <w:t>(</w:t>
            </w:r>
            <w:r>
              <w:rPr>
                <w:rFonts w:hint="eastAsia" w:ascii="仿宋" w:hAnsi="仿宋" w:eastAsia="仿宋" w:cs="ArialUnicodeMS"/>
                <w:sz w:val="28"/>
                <w:szCs w:val="28"/>
                <w:highlight w:val="none"/>
                <w:lang w:val="en-US" w:eastAsia="zh-CN"/>
              </w:rPr>
              <w:t>单位</w:t>
            </w:r>
            <w:r>
              <w:rPr>
                <w:rFonts w:hint="eastAsia" w:ascii="仿宋" w:hAnsi="仿宋" w:eastAsia="仿宋" w:cs="ArialUnicodeMS"/>
                <w:sz w:val="28"/>
                <w:szCs w:val="28"/>
                <w:highlight w:val="none"/>
              </w:rPr>
              <w:t>)</w:t>
            </w:r>
          </w:p>
        </w:tc>
        <w:tc>
          <w:tcPr>
            <w:tcW w:w="2445" w:type="dxa"/>
            <w:vAlign w:val="center"/>
          </w:tcPr>
          <w:p w14:paraId="0F464006">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lang w:val="en-US" w:eastAsia="zh-CN"/>
              </w:rPr>
              <w:t>参公事业单位</w:t>
            </w:r>
          </w:p>
        </w:tc>
        <w:tc>
          <w:tcPr>
            <w:tcW w:w="2665" w:type="dxa"/>
            <w:vAlign w:val="center"/>
          </w:tcPr>
          <w:p w14:paraId="1512D0F7">
            <w:pPr>
              <w:spacing w:line="560" w:lineRule="exact"/>
              <w:jc w:val="center"/>
              <w:rPr>
                <w:rFonts w:hint="eastAsia" w:ascii="仿宋" w:hAnsi="仿宋" w:eastAsia="仿宋" w:cs="ArialUnicodeMS"/>
                <w:sz w:val="28"/>
                <w:szCs w:val="28"/>
              </w:rPr>
            </w:pPr>
            <w:r>
              <w:rPr>
                <w:rFonts w:hint="eastAsia" w:ascii="仿宋" w:hAnsi="仿宋" w:eastAsia="仿宋" w:cs="Times New Roman"/>
                <w:sz w:val="28"/>
                <w:szCs w:val="28"/>
              </w:rPr>
              <w:t>财政拨款</w:t>
            </w:r>
          </w:p>
        </w:tc>
      </w:tr>
    </w:tbl>
    <w:p w14:paraId="4C31DB63">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w:t>
      </w:r>
      <w:r>
        <w:rPr>
          <w:rFonts w:ascii="仿宋" w:hAnsi="仿宋" w:eastAsia="仿宋" w:cs="Times New Roman"/>
          <w:sz w:val="28"/>
          <w:szCs w:val="28"/>
        </w:rPr>
        <w:cr/>
      </w:r>
    </w:p>
    <w:p w14:paraId="1B9630AE">
      <w:pPr>
        <w:widowControl/>
        <w:spacing w:line="580" w:lineRule="exact"/>
        <w:ind w:firstLine="640" w:firstLineChars="200"/>
        <w:rPr>
          <w:rFonts w:ascii="Times New Roman" w:hAnsi="Times New Roman" w:eastAsia="黑体" w:cs="Times New Roman"/>
          <w:sz w:val="32"/>
          <w:szCs w:val="32"/>
          <w:highlight w:val="yellow"/>
        </w:rPr>
      </w:pPr>
    </w:p>
    <w:p w14:paraId="6BD64B71">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17190BCA">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36E600DA">
      <w:pPr>
        <w:widowControl/>
        <w:shd w:val="clear" w:color="auto" w:fill="FFFFFF"/>
        <w:spacing w:after="0"/>
        <w:jc w:val="left"/>
        <w:rPr>
          <w:rFonts w:ascii="Arial" w:hAnsi="Arial" w:eastAsia="Arial" w:cs="Arial"/>
          <w:color w:val="000000"/>
          <w:sz w:val="18"/>
          <w:szCs w:val="18"/>
          <w:shd w:val="clear" w:color="auto" w:fill="FFFFFF"/>
        </w:rPr>
      </w:pPr>
    </w:p>
    <w:p w14:paraId="30BB7513">
      <w:pPr>
        <w:widowControl/>
        <w:shd w:val="clear" w:color="auto" w:fill="FFFFFF"/>
        <w:spacing w:after="0"/>
        <w:jc w:val="left"/>
        <w:rPr>
          <w:rFonts w:ascii="Arial" w:hAnsi="Arial" w:eastAsia="Arial" w:cs="Arial"/>
          <w:color w:val="000000"/>
          <w:sz w:val="18"/>
          <w:szCs w:val="18"/>
          <w:shd w:val="clear" w:color="auto" w:fill="FFFFFF"/>
        </w:rPr>
      </w:pPr>
    </w:p>
    <w:p w14:paraId="2287377D">
      <w:pPr>
        <w:widowControl/>
        <w:shd w:val="clear" w:color="auto" w:fill="FFFFFF"/>
        <w:spacing w:after="0"/>
        <w:jc w:val="left"/>
        <w:rPr>
          <w:rFonts w:ascii="Arial" w:hAnsi="Arial" w:eastAsia="Arial" w:cs="Arial"/>
          <w:color w:val="000000"/>
          <w:sz w:val="18"/>
          <w:szCs w:val="18"/>
          <w:shd w:val="clear" w:color="auto" w:fill="FFFFFF"/>
        </w:rPr>
      </w:pPr>
    </w:p>
    <w:p w14:paraId="38688B3B">
      <w:pPr>
        <w:widowControl/>
        <w:shd w:val="clear" w:color="auto" w:fill="FFFFFF"/>
        <w:spacing w:after="0"/>
        <w:jc w:val="left"/>
        <w:rPr>
          <w:rFonts w:ascii="Arial" w:hAnsi="Arial" w:eastAsia="Arial" w:cs="Arial"/>
          <w:color w:val="000000"/>
          <w:sz w:val="18"/>
          <w:szCs w:val="18"/>
          <w:shd w:val="clear" w:color="auto" w:fill="FFFFFF"/>
        </w:rPr>
      </w:pPr>
    </w:p>
    <w:p w14:paraId="1DB22197">
      <w:pPr>
        <w:widowControl/>
        <w:shd w:val="clear" w:color="auto" w:fill="FFFFFF"/>
        <w:spacing w:after="0"/>
        <w:jc w:val="left"/>
        <w:rPr>
          <w:rFonts w:ascii="Arial" w:hAnsi="Arial" w:eastAsia="Arial" w:cs="Arial"/>
          <w:color w:val="000000"/>
          <w:sz w:val="18"/>
          <w:szCs w:val="18"/>
          <w:shd w:val="clear" w:color="auto" w:fill="FFFFFF"/>
        </w:rPr>
      </w:pPr>
    </w:p>
    <w:p w14:paraId="55BF5873">
      <w:pPr>
        <w:widowControl/>
        <w:shd w:val="clear" w:color="auto" w:fill="FFFFFF"/>
        <w:spacing w:after="0"/>
        <w:jc w:val="left"/>
        <w:rPr>
          <w:rFonts w:ascii="Arial" w:hAnsi="Arial" w:eastAsia="Arial" w:cs="Arial"/>
          <w:color w:val="000000"/>
          <w:sz w:val="18"/>
          <w:szCs w:val="18"/>
          <w:shd w:val="clear" w:color="auto" w:fill="FFFFFF"/>
        </w:rPr>
      </w:pPr>
    </w:p>
    <w:p w14:paraId="28B10F44">
      <w:pPr>
        <w:widowControl/>
        <w:shd w:val="clear" w:color="auto" w:fill="FFFFFF"/>
        <w:spacing w:after="0"/>
        <w:jc w:val="left"/>
        <w:rPr>
          <w:rFonts w:ascii="Arial" w:hAnsi="Arial" w:eastAsia="Arial" w:cs="Arial"/>
          <w:color w:val="000000"/>
          <w:sz w:val="18"/>
          <w:szCs w:val="18"/>
          <w:shd w:val="clear" w:color="auto" w:fill="FFFFFF"/>
        </w:rPr>
      </w:pPr>
    </w:p>
    <w:p w14:paraId="2BA3753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D4FD8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0ED4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ED80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C4014">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6402E9AC">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07820456">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3434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3992" w:type="dxa"/>
            <w:tcBorders>
              <w:top w:val="nil"/>
              <w:left w:val="nil"/>
              <w:bottom w:val="nil"/>
              <w:right w:val="nil"/>
            </w:tcBorders>
          </w:tcPr>
          <w:p w14:paraId="7679A823">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1155065</wp:posOffset>
                  </wp:positionH>
                  <wp:positionV relativeFrom="paragraph">
                    <wp:posOffset>90170</wp:posOffset>
                  </wp:positionV>
                  <wp:extent cx="6432550" cy="4965700"/>
                  <wp:effectExtent l="0" t="0" r="6350" b="6350"/>
                  <wp:wrapNone/>
                  <wp:docPr id="8156050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05013"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2550" cy="4965700"/>
                          </a:xfrm>
                          <a:prstGeom prst="rect">
                            <a:avLst/>
                          </a:prstGeom>
                          <a:noFill/>
                          <a:ln>
                            <a:noFill/>
                          </a:ln>
                        </pic:spPr>
                      </pic:pic>
                    </a:graphicData>
                  </a:graphic>
                </wp:anchor>
              </w:drawing>
            </w:r>
          </w:p>
        </w:tc>
      </w:tr>
      <w:tr w14:paraId="1554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14:paraId="521BF35D">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-635</wp:posOffset>
                  </wp:positionH>
                  <wp:positionV relativeFrom="paragraph">
                    <wp:posOffset>71120</wp:posOffset>
                  </wp:positionV>
                  <wp:extent cx="8743950" cy="3422650"/>
                  <wp:effectExtent l="0" t="0" r="0" b="6350"/>
                  <wp:wrapNone/>
                  <wp:docPr id="19329758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5867"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43950" cy="3422650"/>
                          </a:xfrm>
                          <a:prstGeom prst="rect">
                            <a:avLst/>
                          </a:prstGeom>
                          <a:noFill/>
                          <a:ln>
                            <a:noFill/>
                          </a:ln>
                        </pic:spPr>
                      </pic:pic>
                    </a:graphicData>
                  </a:graphic>
                </wp:anchor>
              </w:drawing>
            </w:r>
          </w:p>
        </w:tc>
      </w:tr>
      <w:tr w14:paraId="0FE3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14:paraId="76D283BD">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-635</wp:posOffset>
                  </wp:positionH>
                  <wp:positionV relativeFrom="paragraph">
                    <wp:posOffset>77470</wp:posOffset>
                  </wp:positionV>
                  <wp:extent cx="8737600" cy="3810000"/>
                  <wp:effectExtent l="0" t="0" r="6350" b="0"/>
                  <wp:wrapNone/>
                  <wp:docPr id="20032472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47254"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737600" cy="3810000"/>
                          </a:xfrm>
                          <a:prstGeom prst="rect">
                            <a:avLst/>
                          </a:prstGeom>
                          <a:noFill/>
                          <a:ln>
                            <a:noFill/>
                          </a:ln>
                        </pic:spPr>
                      </pic:pic>
                    </a:graphicData>
                  </a:graphic>
                </wp:anchor>
              </w:drawing>
            </w:r>
          </w:p>
          <w:p w14:paraId="0514F40E">
            <w:pPr>
              <w:widowControl/>
              <w:tabs>
                <w:tab w:val="left" w:pos="5484"/>
              </w:tabs>
              <w:jc w:val="left"/>
              <w:rPr>
                <w:sz w:val="20"/>
                <w:szCs w:val="20"/>
              </w:rPr>
            </w:pPr>
          </w:p>
        </w:tc>
      </w:tr>
      <w:tr w14:paraId="7BA1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1242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4" w:hRule="atLeast"/>
              </w:trPr>
              <w:tc>
                <w:tcPr>
                  <w:tcW w:w="14481" w:type="dxa"/>
                  <w:tcBorders>
                    <w:top w:val="nil"/>
                    <w:left w:val="nil"/>
                    <w:bottom w:val="nil"/>
                    <w:right w:val="nil"/>
                  </w:tcBorders>
                </w:tcPr>
                <w:p w14:paraId="26367565">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781685</wp:posOffset>
                        </wp:positionH>
                        <wp:positionV relativeFrom="paragraph">
                          <wp:posOffset>89535</wp:posOffset>
                        </wp:positionV>
                        <wp:extent cx="7048500" cy="4965700"/>
                        <wp:effectExtent l="0" t="0" r="0" b="6350"/>
                        <wp:wrapNone/>
                        <wp:docPr id="16313478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786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8500" cy="4965700"/>
                                </a:xfrm>
                                <a:prstGeom prst="rect">
                                  <a:avLst/>
                                </a:prstGeom>
                                <a:noFill/>
                                <a:ln>
                                  <a:noFill/>
                                </a:ln>
                              </pic:spPr>
                            </pic:pic>
                          </a:graphicData>
                        </a:graphic>
                      </wp:anchor>
                    </w:drawing>
                  </w:r>
                </w:p>
              </w:tc>
            </w:tr>
          </w:tbl>
          <w:p w14:paraId="1B5DE183">
            <w:pPr>
              <w:widowControl/>
              <w:jc w:val="center"/>
              <w:rPr>
                <w:sz w:val="20"/>
                <w:szCs w:val="20"/>
              </w:rPr>
            </w:pPr>
          </w:p>
        </w:tc>
      </w:tr>
    </w:tbl>
    <w:p w14:paraId="3E4329F1">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0528" behindDoc="0" locked="0" layoutInCell="1" allowOverlap="1">
            <wp:simplePos x="0" y="0"/>
            <wp:positionH relativeFrom="column">
              <wp:posOffset>475615</wp:posOffset>
            </wp:positionH>
            <wp:positionV relativeFrom="paragraph">
              <wp:posOffset>1270</wp:posOffset>
            </wp:positionV>
            <wp:extent cx="7785100" cy="4552950"/>
            <wp:effectExtent l="0" t="0" r="6350" b="0"/>
            <wp:wrapNone/>
            <wp:docPr id="8263923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92338"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785100" cy="4552950"/>
                    </a:xfrm>
                    <a:prstGeom prst="rect">
                      <a:avLst/>
                    </a:prstGeom>
                    <a:noFill/>
                    <a:ln>
                      <a:noFill/>
                    </a:ln>
                  </pic:spPr>
                </pic:pic>
              </a:graphicData>
            </a:graphic>
          </wp:anchor>
        </w:drawing>
      </w:r>
    </w:p>
    <w:p w14:paraId="2713A7F8">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405765</wp:posOffset>
            </wp:positionH>
            <wp:positionV relativeFrom="paragraph">
              <wp:posOffset>102870</wp:posOffset>
            </wp:positionV>
            <wp:extent cx="8005445" cy="4968240"/>
            <wp:effectExtent l="0" t="0" r="0" b="3810"/>
            <wp:wrapNone/>
            <wp:docPr id="11372552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5211"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5445" cy="4968240"/>
                    </a:xfrm>
                    <a:prstGeom prst="rect">
                      <a:avLst/>
                    </a:prstGeom>
                    <a:noFill/>
                    <a:ln>
                      <a:noFill/>
                    </a:ln>
                  </pic:spPr>
                </pic:pic>
              </a:graphicData>
            </a:graphic>
          </wp:anchor>
        </w:drawing>
      </w:r>
      <w:r>
        <w:rPr>
          <w:sz w:val="20"/>
          <w:szCs w:val="20"/>
        </w:rPr>
        <w:br w:type="page"/>
      </w:r>
    </w:p>
    <w:p w14:paraId="12C8D1A9">
      <w:pPr>
        <w:widowControl/>
        <w:jc w:val="center"/>
        <w:rPr>
          <w:sz w:val="20"/>
          <w:szCs w:val="20"/>
        </w:rPr>
      </w:pPr>
    </w:p>
    <w:p w14:paraId="3D1FF7B1">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-635</wp:posOffset>
            </wp:positionH>
            <wp:positionV relativeFrom="paragraph">
              <wp:posOffset>45085</wp:posOffset>
            </wp:positionV>
            <wp:extent cx="8747760" cy="2689860"/>
            <wp:effectExtent l="0" t="0" r="0" b="0"/>
            <wp:wrapNone/>
            <wp:docPr id="17901867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86757"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2689860"/>
                    </a:xfrm>
                    <a:prstGeom prst="rect">
                      <a:avLst/>
                    </a:prstGeom>
                    <a:noFill/>
                    <a:ln>
                      <a:noFill/>
                    </a:ln>
                  </pic:spPr>
                </pic:pic>
              </a:graphicData>
            </a:graphic>
          </wp:anchor>
        </w:drawing>
      </w:r>
      <w:r>
        <w:rPr>
          <w:sz w:val="20"/>
          <w:szCs w:val="20"/>
        </w:rPr>
        <w:br w:type="page"/>
      </w:r>
    </w:p>
    <w:p w14:paraId="0E6E1D17">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1270</wp:posOffset>
            </wp:positionV>
            <wp:extent cx="6642100" cy="3162300"/>
            <wp:effectExtent l="0" t="0" r="6350" b="0"/>
            <wp:wrapNone/>
            <wp:docPr id="17540815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81593"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2100" cy="3162300"/>
                    </a:xfrm>
                    <a:prstGeom prst="rect">
                      <a:avLst/>
                    </a:prstGeom>
                    <a:noFill/>
                    <a:ln>
                      <a:noFill/>
                    </a:ln>
                  </pic:spPr>
                </pic:pic>
              </a:graphicData>
            </a:graphic>
          </wp:anchor>
        </w:drawing>
      </w:r>
      <w:r>
        <w:rPr>
          <w:sz w:val="20"/>
          <w:szCs w:val="20"/>
        </w:rPr>
        <w:br w:type="page"/>
      </w:r>
    </w:p>
    <w:p w14:paraId="67A05F8F">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-635</wp:posOffset>
            </wp:positionH>
            <wp:positionV relativeFrom="paragraph">
              <wp:posOffset>13970</wp:posOffset>
            </wp:positionV>
            <wp:extent cx="8747760" cy="1747520"/>
            <wp:effectExtent l="0" t="0" r="0" b="5080"/>
            <wp:wrapNone/>
            <wp:docPr id="12744660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66018"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7520"/>
                    </a:xfrm>
                    <a:prstGeom prst="rect">
                      <a:avLst/>
                    </a:prstGeom>
                    <a:noFill/>
                    <a:ln>
                      <a:noFill/>
                    </a:ln>
                  </pic:spPr>
                </pic:pic>
              </a:graphicData>
            </a:graphic>
          </wp:anchor>
        </w:drawing>
      </w:r>
    </w:p>
    <w:p w14:paraId="48DD1F0D">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5FD05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BB4AF6">
      <w:pPr>
        <w:pStyle w:val="10"/>
        <w:widowControl/>
        <w:spacing w:beforeAutospacing="0" w:afterAutospacing="0"/>
        <w:jc w:val="center"/>
        <w:rPr>
          <w:rFonts w:ascii="Arial" w:hAnsi="Arial" w:eastAsia="Arial" w:cs="Arial"/>
          <w:color w:val="000000"/>
          <w:sz w:val="18"/>
          <w:szCs w:val="18"/>
          <w:shd w:val="clear" w:color="auto" w:fill="FFFFFF"/>
        </w:rPr>
      </w:pPr>
    </w:p>
    <w:p w14:paraId="4A379622">
      <w:pPr>
        <w:pStyle w:val="10"/>
        <w:widowControl/>
        <w:spacing w:beforeAutospacing="0" w:afterAutospacing="0"/>
        <w:jc w:val="center"/>
        <w:rPr>
          <w:rFonts w:ascii="Arial" w:hAnsi="Arial" w:eastAsia="Arial" w:cs="Arial"/>
          <w:color w:val="000000"/>
          <w:sz w:val="18"/>
          <w:szCs w:val="18"/>
          <w:shd w:val="clear" w:color="auto" w:fill="FFFFFF"/>
        </w:rPr>
      </w:pPr>
    </w:p>
    <w:p w14:paraId="51877D3A">
      <w:pPr>
        <w:pStyle w:val="10"/>
        <w:widowControl/>
        <w:spacing w:beforeAutospacing="0" w:afterAutospacing="0"/>
        <w:jc w:val="center"/>
        <w:rPr>
          <w:rFonts w:ascii="Arial" w:hAnsi="Arial" w:eastAsia="Arial" w:cs="Arial"/>
          <w:color w:val="000000"/>
          <w:sz w:val="18"/>
          <w:szCs w:val="18"/>
          <w:shd w:val="clear" w:color="auto" w:fill="FFFFFF"/>
        </w:rPr>
      </w:pPr>
    </w:p>
    <w:p w14:paraId="746AC952">
      <w:pPr>
        <w:pStyle w:val="10"/>
        <w:widowControl/>
        <w:spacing w:beforeAutospacing="0" w:afterAutospacing="0"/>
        <w:jc w:val="center"/>
        <w:rPr>
          <w:rFonts w:ascii="Arial" w:hAnsi="Arial" w:eastAsia="Arial" w:cs="Arial"/>
          <w:color w:val="000000"/>
          <w:sz w:val="18"/>
          <w:szCs w:val="18"/>
          <w:shd w:val="clear" w:color="auto" w:fill="FFFFFF"/>
        </w:rPr>
      </w:pPr>
    </w:p>
    <w:p w14:paraId="3FBA37D7">
      <w:pPr>
        <w:pStyle w:val="10"/>
        <w:widowControl/>
        <w:spacing w:beforeAutospacing="0" w:afterAutospacing="0"/>
        <w:jc w:val="center"/>
        <w:rPr>
          <w:rFonts w:ascii="Arial" w:hAnsi="Arial" w:eastAsia="Arial" w:cs="Arial"/>
          <w:color w:val="000000"/>
          <w:sz w:val="18"/>
          <w:szCs w:val="18"/>
          <w:shd w:val="clear" w:color="auto" w:fill="FFFFFF"/>
        </w:rPr>
      </w:pPr>
    </w:p>
    <w:p w14:paraId="65FD000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F807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13BB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26BA97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08A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7E9B52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D6D15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4D3B366">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4CA144DB">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14:paraId="4895F512">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14:paraId="3BE7830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9AE5C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06D161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3F68A8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42CA8F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05B02B8">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0E841168">
      <w:pPr>
        <w:rPr>
          <w:rFonts w:ascii="Arial" w:hAnsi="Arial" w:eastAsia="Arial" w:cs="Arial"/>
        </w:rPr>
      </w:pPr>
      <w:r>
        <w:rPr>
          <w:rFonts w:ascii="Arial" w:hAnsi="Arial" w:eastAsia="Arial" w:cs="Arial"/>
          <w:color w:val="000000"/>
          <w:sz w:val="18"/>
          <w:szCs w:val="18"/>
          <w:shd w:val="clear" w:color="auto" w:fill="FFFFFF"/>
        </w:rPr>
        <w:br w:type="page"/>
      </w:r>
    </w:p>
    <w:p w14:paraId="7B9C7DF9">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37953C8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highlight w:val="none"/>
        </w:rPr>
      </w:pPr>
      <w:r>
        <w:rPr>
          <w:rFonts w:ascii="仿宋" w:hAnsi="仿宋" w:eastAsia="仿宋" w:cs="Times New Roman"/>
          <w:kern w:val="2"/>
          <w:sz w:val="32"/>
          <w:szCs w:val="32"/>
        </w:rPr>
        <w:t>本单位2023年度收、支总计（含结转和结余）380.28万元。与2022年度决算相比，收支各增加37.10万元，增长10.8%，</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人员工资调整产生增长</w:t>
      </w:r>
      <w:r>
        <w:rPr>
          <w:rFonts w:ascii="仿宋" w:hAnsi="仿宋" w:eastAsia="仿宋" w:cs="Times New Roman"/>
          <w:kern w:val="2"/>
          <w:sz w:val="32"/>
          <w:szCs w:val="32"/>
          <w:highlight w:val="none"/>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65A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0B0693A0">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302260</wp:posOffset>
                  </wp:positionH>
                  <wp:positionV relativeFrom="paragraph">
                    <wp:posOffset>69850</wp:posOffset>
                  </wp:positionV>
                  <wp:extent cx="4229100" cy="2851150"/>
                  <wp:effectExtent l="0" t="0" r="0" b="6350"/>
                  <wp:wrapNone/>
                  <wp:docPr id="2764662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66229"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9100" cy="2851150"/>
                          </a:xfrm>
                          <a:prstGeom prst="rect">
                            <a:avLst/>
                          </a:prstGeom>
                          <a:noFill/>
                          <a:ln>
                            <a:noFill/>
                          </a:ln>
                        </pic:spPr>
                      </pic:pic>
                    </a:graphicData>
                  </a:graphic>
                </wp:anchor>
              </w:drawing>
            </w:r>
          </w:p>
        </w:tc>
      </w:tr>
    </w:tbl>
    <w:p w14:paraId="30E2797B">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26DCCB4E">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本单位2023年度本年收入合计380.28万元，其中：财政拨款收入380.28万元，占100.0%；上级补助收入0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0.00</w:t>
      </w:r>
      <w:r>
        <w:rPr>
          <w:rFonts w:ascii="仿宋" w:hAnsi="仿宋" w:eastAsia="仿宋" w:cs="Times New Roman"/>
          <w:kern w:val="2"/>
          <w:sz w:val="32"/>
          <w:szCs w:val="32"/>
          <w:lang w:val="zh-CN"/>
        </w:rPr>
        <w:t>万元，占0.0%</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298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6D460774">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276860</wp:posOffset>
                  </wp:positionH>
                  <wp:positionV relativeFrom="paragraph">
                    <wp:posOffset>-292100</wp:posOffset>
                  </wp:positionV>
                  <wp:extent cx="4273550" cy="3213100"/>
                  <wp:effectExtent l="0" t="0" r="0" b="6350"/>
                  <wp:wrapNone/>
                  <wp:docPr id="19259298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29801"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3550" cy="3213100"/>
                          </a:xfrm>
                          <a:prstGeom prst="rect">
                            <a:avLst/>
                          </a:prstGeom>
                          <a:noFill/>
                          <a:ln>
                            <a:noFill/>
                          </a:ln>
                        </pic:spPr>
                      </pic:pic>
                    </a:graphicData>
                  </a:graphic>
                </wp:anchor>
              </w:drawing>
            </w:r>
          </w:p>
        </w:tc>
      </w:tr>
    </w:tbl>
    <w:p w14:paraId="12A2E93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0FD40A9F">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本单位2023年度本年支出合计380.28万元，其中：基本支出378.28万元，占99.5%；项目支出2.00万元，占0.5%；上缴上级支出0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193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48DBC14D">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289560</wp:posOffset>
                  </wp:positionH>
                  <wp:positionV relativeFrom="paragraph">
                    <wp:posOffset>106045</wp:posOffset>
                  </wp:positionV>
                  <wp:extent cx="4254500" cy="2813050"/>
                  <wp:effectExtent l="0" t="0" r="0" b="6350"/>
                  <wp:wrapNone/>
                  <wp:docPr id="15820541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54194"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4500" cy="2813050"/>
                          </a:xfrm>
                          <a:prstGeom prst="rect">
                            <a:avLst/>
                          </a:prstGeom>
                          <a:noFill/>
                          <a:ln>
                            <a:noFill/>
                          </a:ln>
                        </pic:spPr>
                      </pic:pic>
                    </a:graphicData>
                  </a:graphic>
                </wp:anchor>
              </w:drawing>
            </w:r>
          </w:p>
        </w:tc>
      </w:tr>
      <w:bookmarkEnd w:id="0"/>
    </w:tbl>
    <w:p w14:paraId="039BF36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10D5AFE1">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70C90F12">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380.28万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增加37.10</w:t>
      </w:r>
      <w:r>
        <w:rPr>
          <w:rFonts w:ascii="仿宋" w:hAnsi="仿宋" w:eastAsia="仿宋"/>
          <w:kern w:val="2"/>
          <w:sz w:val="32"/>
          <w:szCs w:val="32"/>
          <w:lang w:val="zh-CN"/>
        </w:rPr>
        <w:t>万元</w:t>
      </w:r>
      <w:r>
        <w:rPr>
          <w:rFonts w:ascii="仿宋" w:hAnsi="仿宋" w:eastAsia="仿宋"/>
          <w:kern w:val="2"/>
          <w:sz w:val="32"/>
          <w:szCs w:val="32"/>
        </w:rPr>
        <w:t>，增长10.8%，</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人员工资调整产生增长</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380.28</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增加37.10</w:t>
      </w:r>
      <w:r>
        <w:rPr>
          <w:rFonts w:ascii="仿宋" w:hAnsi="仿宋" w:eastAsia="仿宋"/>
          <w:kern w:val="2"/>
          <w:sz w:val="32"/>
          <w:szCs w:val="32"/>
          <w:lang w:val="zh-CN"/>
        </w:rPr>
        <w:t>万元</w:t>
      </w:r>
      <w:r>
        <w:rPr>
          <w:rFonts w:ascii="仿宋" w:hAnsi="仿宋" w:eastAsia="仿宋"/>
          <w:kern w:val="2"/>
          <w:sz w:val="32"/>
          <w:szCs w:val="32"/>
        </w:rPr>
        <w:t>，增长10.8%，</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人员工资调整产生增长</w:t>
      </w:r>
      <w:r>
        <w:rPr>
          <w:rFonts w:ascii="仿宋" w:hAnsi="仿宋" w:eastAsia="仿宋"/>
          <w:kern w:val="2"/>
          <w:sz w:val="32"/>
          <w:szCs w:val="32"/>
          <w:lang w:val="zh-CN"/>
        </w:rPr>
        <w:t>。具体情况如下：</w:t>
      </w:r>
    </w:p>
    <w:p w14:paraId="6C54188D">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380.28</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增加37.10</w:t>
      </w:r>
      <w:r>
        <w:rPr>
          <w:rFonts w:ascii="仿宋" w:hAnsi="仿宋" w:eastAsia="仿宋" w:cs="Times New Roman"/>
          <w:kern w:val="2"/>
          <w:sz w:val="32"/>
          <w:szCs w:val="32"/>
          <w:lang w:val="zh-CN"/>
        </w:rPr>
        <w:t>万元</w:t>
      </w:r>
      <w:r>
        <w:rPr>
          <w:rFonts w:ascii="仿宋" w:hAnsi="仿宋" w:eastAsia="仿宋" w:cs="Times New Roman"/>
          <w:kern w:val="2"/>
          <w:sz w:val="32"/>
          <w:szCs w:val="32"/>
        </w:rPr>
        <w:t>，增长10.8%</w:t>
      </w:r>
      <w:r>
        <w:rPr>
          <w:rFonts w:hint="eastAsia" w:ascii="仿宋" w:hAnsi="仿宋" w:eastAsia="仿宋" w:cs="Times New Roman"/>
          <w:kern w:val="2"/>
          <w:sz w:val="32"/>
          <w:szCs w:val="32"/>
        </w:rPr>
        <w:t>，</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人员工资调整</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380.28万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增加37.10</w:t>
      </w:r>
      <w:r>
        <w:rPr>
          <w:rFonts w:ascii="仿宋" w:hAnsi="仿宋" w:eastAsia="仿宋" w:cs="Times New Roman"/>
          <w:kern w:val="2"/>
          <w:sz w:val="32"/>
          <w:szCs w:val="32"/>
          <w:lang w:val="zh-CN"/>
        </w:rPr>
        <w:t>万元</w:t>
      </w:r>
      <w:r>
        <w:rPr>
          <w:rFonts w:ascii="仿宋" w:hAnsi="仿宋" w:eastAsia="仿宋" w:cs="Times New Roman"/>
          <w:kern w:val="2"/>
          <w:sz w:val="32"/>
          <w:szCs w:val="32"/>
        </w:rPr>
        <w:t>，增长10.8%，</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人员工资调整</w:t>
      </w:r>
      <w:r>
        <w:rPr>
          <w:rFonts w:ascii="仿宋" w:hAnsi="仿宋" w:eastAsia="仿宋" w:cs="Times New Roman"/>
          <w:kern w:val="2"/>
          <w:sz w:val="32"/>
          <w:szCs w:val="32"/>
          <w:lang w:val="zh-CN"/>
        </w:rPr>
        <w:t>。</w:t>
      </w:r>
    </w:p>
    <w:p w14:paraId="713ED287">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75B73B36">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5F8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5EBA8E75">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276860</wp:posOffset>
                  </wp:positionH>
                  <wp:positionV relativeFrom="paragraph">
                    <wp:posOffset>69850</wp:posOffset>
                  </wp:positionV>
                  <wp:extent cx="4273550" cy="3168650"/>
                  <wp:effectExtent l="0" t="0" r="0" b="0"/>
                  <wp:wrapNone/>
                  <wp:docPr id="2106513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330"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3550" cy="3168650"/>
                          </a:xfrm>
                          <a:prstGeom prst="rect">
                            <a:avLst/>
                          </a:prstGeom>
                          <a:noFill/>
                          <a:ln>
                            <a:noFill/>
                          </a:ln>
                        </pic:spPr>
                      </pic:pic>
                    </a:graphicData>
                  </a:graphic>
                </wp:anchor>
              </w:drawing>
            </w:r>
          </w:p>
        </w:tc>
      </w:tr>
      <w:bookmarkEnd w:id="1"/>
    </w:tbl>
    <w:p w14:paraId="0A03FFD6">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4BD42F6A">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380.28万元，完成年初预算的63.8%，比年初预算减少215.51万元，决算数小于预算数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办公经费减少</w:t>
      </w:r>
      <w:r>
        <w:rPr>
          <w:rFonts w:ascii="仿宋" w:hAnsi="仿宋" w:eastAsia="仿宋" w:cs="Times New Roman"/>
          <w:kern w:val="2"/>
          <w:sz w:val="32"/>
          <w:szCs w:val="32"/>
          <w:highlight w:val="none"/>
          <w:lang w:val="zh-CN"/>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380.28万元，完成年初预算的63.8%，比年初预算减少215.51万元，决算数小于预算数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办公经费减少</w:t>
      </w:r>
      <w:r>
        <w:rPr>
          <w:rFonts w:ascii="仿宋" w:hAnsi="仿宋" w:eastAsia="仿宋" w:cs="Times New Roman"/>
          <w:kern w:val="2"/>
          <w:sz w:val="32"/>
          <w:szCs w:val="32"/>
          <w:lang w:val="zh-CN"/>
        </w:rPr>
        <w:t>。具体情况如下：</w:t>
      </w:r>
    </w:p>
    <w:p w14:paraId="30D1DFF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380.28</w:t>
      </w:r>
      <w:r>
        <w:rPr>
          <w:rFonts w:ascii="仿宋" w:hAnsi="仿宋" w:eastAsia="仿宋" w:cs="Times New Roman"/>
          <w:kern w:val="2"/>
          <w:sz w:val="32"/>
          <w:szCs w:val="32"/>
          <w:lang w:val="zh-CN"/>
        </w:rPr>
        <w:t>万元，完成年初预算的63.8%，比年初预算减少215.51万元，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办公经费支出减少</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380.28</w:t>
      </w:r>
      <w:r>
        <w:rPr>
          <w:rFonts w:ascii="仿宋" w:hAnsi="仿宋" w:eastAsia="仿宋" w:cs="Times New Roman"/>
          <w:kern w:val="2"/>
          <w:sz w:val="32"/>
          <w:szCs w:val="32"/>
          <w:lang w:val="zh-CN"/>
        </w:rPr>
        <w:t>万元，完成年初预算的63.8%，比年初预算减少215.51万元，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办公经费支出减少</w:t>
      </w:r>
      <w:r>
        <w:rPr>
          <w:rFonts w:ascii="仿宋" w:hAnsi="仿宋" w:eastAsia="仿宋" w:cs="Times New Roman"/>
          <w:kern w:val="2"/>
          <w:sz w:val="32"/>
          <w:szCs w:val="32"/>
          <w:lang w:val="zh-CN"/>
        </w:rPr>
        <w:t>。</w:t>
      </w:r>
    </w:p>
    <w:p w14:paraId="7E89847B">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w:t>
      </w:r>
    </w:p>
    <w:p w14:paraId="20C58EC1">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0F9E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214C853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260350</wp:posOffset>
                  </wp:positionH>
                  <wp:positionV relativeFrom="paragraph">
                    <wp:posOffset>271145</wp:posOffset>
                  </wp:positionV>
                  <wp:extent cx="4324350" cy="2857500"/>
                  <wp:effectExtent l="0" t="0" r="0" b="0"/>
                  <wp:wrapNone/>
                  <wp:docPr id="20624570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57075"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4350" cy="2857500"/>
                          </a:xfrm>
                          <a:prstGeom prst="rect">
                            <a:avLst/>
                          </a:prstGeom>
                          <a:noFill/>
                          <a:ln>
                            <a:noFill/>
                          </a:ln>
                        </pic:spPr>
                      </pic:pic>
                    </a:graphicData>
                  </a:graphic>
                </wp:anchor>
              </w:drawing>
            </w:r>
          </w:p>
        </w:tc>
      </w:tr>
    </w:tbl>
    <w:p w14:paraId="57CE7A1E">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272FAA24">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380.28</w:t>
      </w:r>
      <w:r>
        <w:rPr>
          <w:rFonts w:ascii="仿宋" w:hAnsi="仿宋" w:eastAsia="仿宋" w:cs="Times New Roman"/>
          <w:kern w:val="2"/>
          <w:sz w:val="32"/>
          <w:szCs w:val="32"/>
          <w:lang w:val="zh-CN"/>
        </w:rPr>
        <w:t>万元，主要用于以下方面：</w:t>
      </w:r>
    </w:p>
    <w:p w14:paraId="27FA5FC6">
      <w:pPr>
        <w:keepNext w:val="0"/>
        <w:keepLines w:val="0"/>
        <w:pageBreakBefore w:val="0"/>
        <w:widowControl/>
        <w:kinsoku/>
        <w:wordWrap/>
        <w:overflowPunct/>
        <w:topLinePunct w:val="0"/>
        <w:autoSpaceDE w:val="0"/>
        <w:autoSpaceDN w:val="0"/>
        <w:bidi w:val="0"/>
        <w:adjustRightInd/>
        <w:snapToGrid/>
        <w:spacing w:before="262" w:after="0" w:line="440" w:lineRule="exact"/>
        <w:ind w:left="96" w:right="96" w:firstLine="0"/>
        <w:jc w:val="right"/>
        <w:textAlignment w:val="auto"/>
        <w:rPr>
          <w:rFonts w:ascii="仿宋" w:hAnsi="仿宋" w:eastAsia="仿宋"/>
          <w:b w:val="0"/>
          <w:i w:val="0"/>
          <w:color w:val="000000"/>
          <w:sz w:val="32"/>
        </w:rPr>
      </w:pP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社会保障和就业（类）支出56.85万元，占14.9%，</w:t>
      </w:r>
      <w:r>
        <w:rPr>
          <w:rFonts w:ascii="仿宋" w:hAnsi="仿宋" w:eastAsia="仿宋"/>
          <w:b w:val="0"/>
          <w:i w:val="0"/>
          <w:color w:val="000000"/>
          <w:sz w:val="32"/>
        </w:rPr>
        <w:t>主要</w:t>
      </w:r>
    </w:p>
    <w:p w14:paraId="6A9EE75D">
      <w:pPr>
        <w:keepNext w:val="0"/>
        <w:keepLines w:val="0"/>
        <w:pageBreakBefore w:val="0"/>
        <w:widowControl/>
        <w:kinsoku/>
        <w:wordWrap/>
        <w:overflowPunct/>
        <w:topLinePunct w:val="0"/>
        <w:autoSpaceDE w:val="0"/>
        <w:autoSpaceDN w:val="0"/>
        <w:bidi w:val="0"/>
        <w:adjustRightInd/>
        <w:snapToGrid/>
        <w:spacing w:before="262" w:after="0" w:line="640" w:lineRule="exact"/>
        <w:ind w:left="96" w:right="96" w:firstLine="0"/>
        <w:jc w:val="both"/>
        <w:textAlignment w:val="auto"/>
        <w:rPr>
          <w:rFonts w:hint="default" w:ascii="仿宋" w:hAnsi="仿宋" w:eastAsia="仿宋"/>
          <w:kern w:val="2"/>
          <w:sz w:val="32"/>
          <w:szCs w:val="32"/>
          <w:lang w:val="en-US" w:eastAsia="zh-CN"/>
        </w:rPr>
      </w:pPr>
      <w:r>
        <w:rPr>
          <w:rFonts w:ascii="仿宋" w:hAnsi="仿宋" w:eastAsia="仿宋"/>
          <w:b w:val="0"/>
          <w:i w:val="0"/>
          <w:color w:val="000000"/>
          <w:sz w:val="32"/>
        </w:rPr>
        <w:t>用于主要用于退休费和在职人员养老保险、职业年金等支出</w:t>
      </w:r>
      <w:r>
        <w:rPr>
          <w:rFonts w:hint="eastAsia" w:ascii="仿宋" w:hAnsi="仿宋" w:eastAsia="仿宋" w:cs="仿宋_GB2312"/>
          <w:sz w:val="32"/>
          <w:szCs w:val="32"/>
        </w:rPr>
        <w:t>；卫生健康（类）支出26.52万元，占7.0%，</w:t>
      </w:r>
      <w:r>
        <w:rPr>
          <w:rFonts w:ascii="仿宋" w:hAnsi="仿宋" w:eastAsia="仿宋"/>
          <w:b w:val="0"/>
          <w:i w:val="0"/>
          <w:color w:val="000000"/>
          <w:sz w:val="32"/>
        </w:rPr>
        <w:t>主要用于在职人员医疗保险、公务员医疗补助等支出</w:t>
      </w:r>
      <w:r>
        <w:rPr>
          <w:rFonts w:hint="eastAsia" w:ascii="仿宋" w:hAnsi="仿宋" w:eastAsia="仿宋" w:cs="仿宋_GB2312"/>
          <w:sz w:val="32"/>
          <w:szCs w:val="32"/>
        </w:rPr>
        <w:t>；交通运输（类）支出260.52万元，占68.5%，</w:t>
      </w:r>
      <w:r>
        <w:rPr>
          <w:rFonts w:ascii="仿宋" w:hAnsi="仿宋" w:eastAsia="仿宋"/>
          <w:b w:val="0"/>
          <w:i w:val="0"/>
          <w:color w:val="000000"/>
          <w:sz w:val="32"/>
        </w:rPr>
        <w:t>主要用于在职人员工资、日常公用经费支出；</w:t>
      </w:r>
      <w:r>
        <w:rPr>
          <w:rFonts w:hint="eastAsia" w:ascii="仿宋" w:hAnsi="仿宋" w:eastAsia="仿宋" w:cs="仿宋_GB2312"/>
          <w:sz w:val="32"/>
          <w:szCs w:val="32"/>
        </w:rPr>
        <w:t>；住房保障（类）支出36.39万元，占9.6%，</w:t>
      </w:r>
      <w:r>
        <w:rPr>
          <w:rFonts w:ascii="仿宋" w:hAnsi="仿宋" w:eastAsia="仿宋"/>
          <w:b w:val="0"/>
          <w:i w:val="0"/>
          <w:color w:val="000000"/>
          <w:sz w:val="32"/>
        </w:rPr>
        <w:t>主要用于在职人员</w:t>
      </w:r>
      <w:r>
        <w:rPr>
          <w:rFonts w:hint="eastAsia" w:ascii="仿宋" w:hAnsi="仿宋" w:eastAsia="仿宋"/>
          <w:b w:val="0"/>
          <w:i w:val="0"/>
          <w:color w:val="000000"/>
          <w:sz w:val="32"/>
          <w:lang w:val="en-US" w:eastAsia="zh-CN"/>
        </w:rPr>
        <w:t>住房公积金支出。</w:t>
      </w:r>
    </w:p>
    <w:p w14:paraId="6DC717CB">
      <w:pPr>
        <w:snapToGrid w:val="0"/>
        <w:spacing w:after="0" w:line="360" w:lineRule="auto"/>
        <w:ind w:firstLine="643" w:firstLineChars="200"/>
        <w:rPr>
          <w:rFonts w:hint="eastAsia" w:ascii="楷体" w:hAnsi="楷体" w:eastAsia="楷体"/>
          <w:b/>
          <w:bCs/>
          <w:sz w:val="32"/>
          <w:szCs w:val="32"/>
        </w:rPr>
      </w:pPr>
    </w:p>
    <w:p w14:paraId="6D1ED524">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52E3B7AB">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2023年度财政拨款基本支出378.28万元，其中：</w:t>
      </w:r>
    </w:p>
    <w:p w14:paraId="050A030D">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367.24万元，主要包括:基本工资、津贴补贴、奖金、绩效工资、机关事业单位基本养老保险缴费、职工基本医疗保险缴费、公务员医疗补助缴费、其他社会保障缴费、住房公积金、退休费、其他对个人和家庭的补助；</w:t>
      </w:r>
    </w:p>
    <w:p w14:paraId="6C23BAB9">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公用经费11.05万元，主要包括:办公费、印刷费、邮电费、维修（护）费、工会经费、福利费、公务用车运行维护费、其他商品和服务支出。</w:t>
      </w:r>
    </w:p>
    <w:p w14:paraId="31BF437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118C1A9A">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46E54EC7">
      <w:pPr>
        <w:pStyle w:val="10"/>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2.17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2.17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增加0.03</w:t>
      </w:r>
      <w:r>
        <w:rPr>
          <w:rFonts w:ascii="仿宋" w:hAnsi="仿宋" w:eastAsia="仿宋"/>
          <w:kern w:val="2"/>
          <w:sz w:val="32"/>
          <w:szCs w:val="32"/>
          <w:lang w:val="zh-CN"/>
        </w:rPr>
        <w:t>万元</w:t>
      </w:r>
      <w:r>
        <w:rPr>
          <w:rFonts w:ascii="仿宋" w:hAnsi="仿宋" w:eastAsia="仿宋"/>
          <w:kern w:val="2"/>
          <w:sz w:val="32"/>
          <w:szCs w:val="32"/>
        </w:rPr>
        <w:t>，增长1.6%，</w:t>
      </w:r>
      <w:r>
        <w:rPr>
          <w:rFonts w:hint="eastAsia" w:ascii="仿宋" w:hAnsi="仿宋" w:eastAsia="仿宋"/>
          <w:kern w:val="2"/>
          <w:sz w:val="32"/>
          <w:szCs w:val="32"/>
          <w:highlight w:val="none"/>
          <w:lang w:val="zh-CN"/>
        </w:rPr>
        <w:t>主要原因是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维修费增加</w:t>
      </w:r>
      <w:r>
        <w:rPr>
          <w:rFonts w:ascii="仿宋" w:hAnsi="仿宋" w:eastAsia="仿宋"/>
          <w:kern w:val="2"/>
          <w:sz w:val="32"/>
          <w:szCs w:val="32"/>
          <w:highlight w:val="none"/>
          <w:lang w:val="zh-CN"/>
        </w:rPr>
        <w:t>。</w:t>
      </w:r>
    </w:p>
    <w:p w14:paraId="660BF10C">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732B4182">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本单位</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r>
        <w:rPr>
          <w:rFonts w:hint="eastAsia" w:ascii="仿宋" w:hAnsi="仿宋" w:eastAsia="仿宋"/>
          <w:kern w:val="2"/>
          <w:sz w:val="32"/>
          <w:szCs w:val="32"/>
        </w:rPr>
        <w:t>、</w:t>
      </w:r>
      <w:r>
        <w:rPr>
          <w:rFonts w:ascii="仿宋" w:hAnsi="仿宋" w:eastAsia="仿宋"/>
          <w:kern w:val="2"/>
          <w:sz w:val="32"/>
          <w:szCs w:val="32"/>
        </w:rPr>
        <w:t>无本部门组织的出国（境）团组。</w:t>
      </w:r>
    </w:p>
    <w:p w14:paraId="2022681C">
      <w:pPr>
        <w:pStyle w:val="10"/>
        <w:widowControl/>
        <w:snapToGrid w:val="0"/>
        <w:spacing w:beforeAutospacing="0" w:afterAutospacing="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年度公务用车购置及运行维护费预算为2.17万元，支出决算2.17万元，完成预算的100.0%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公务用车购置及运行维护费支出与预算持平，较上年增加0.03万元，增长1.6%</w:t>
      </w:r>
      <w:r>
        <w:rPr>
          <w:rFonts w:hint="eastAsia" w:ascii="仿宋" w:hAnsi="仿宋" w:eastAsia="仿宋" w:cs="Times New Roman"/>
          <w:kern w:val="2"/>
          <w:sz w:val="32"/>
          <w:szCs w:val="32"/>
          <w:lang w:val="zh-CN"/>
        </w:rPr>
        <w:t>，</w:t>
      </w:r>
      <w:r>
        <w:rPr>
          <w:rFonts w:hint="eastAsia" w:ascii="仿宋" w:hAnsi="仿宋" w:eastAsia="仿宋"/>
          <w:kern w:val="2"/>
          <w:sz w:val="32"/>
          <w:szCs w:val="32"/>
          <w:highlight w:val="none"/>
          <w:lang w:val="en-US" w:eastAsia="zh-CN"/>
        </w:rPr>
        <w:t>维修费增加</w:t>
      </w:r>
      <w:r>
        <w:rPr>
          <w:rFonts w:ascii="仿宋" w:hAnsi="仿宋" w:eastAsia="仿宋"/>
          <w:kern w:val="2"/>
          <w:sz w:val="32"/>
          <w:szCs w:val="32"/>
          <w:highlight w:val="none"/>
          <w:lang w:val="zh-CN"/>
        </w:rPr>
        <w:t>。</w:t>
      </w:r>
    </w:p>
    <w:p w14:paraId="6300CA32">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056911EA">
      <w:pPr>
        <w:pStyle w:val="10"/>
        <w:widowControl/>
        <w:snapToGrid w:val="0"/>
        <w:spacing w:beforeAutospacing="0" w:afterAutospacing="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公务用车运行维护费支出2.17</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年度单位公务用车保有量1辆，发生运行维护费支出</w:t>
      </w:r>
      <w:r>
        <w:rPr>
          <w:rFonts w:hint="eastAsia" w:ascii="仿宋" w:hAnsi="仿宋" w:eastAsia="仿宋" w:cs="Times New Roman"/>
          <w:kern w:val="2"/>
          <w:sz w:val="32"/>
          <w:szCs w:val="32"/>
        </w:rPr>
        <w:t>2.17</w:t>
      </w:r>
      <w:r>
        <w:rPr>
          <w:rFonts w:ascii="仿宋" w:hAnsi="仿宋" w:eastAsia="仿宋" w:cs="Times New Roman"/>
          <w:kern w:val="2"/>
          <w:sz w:val="32"/>
          <w:szCs w:val="32"/>
          <w:lang w:val="zh-CN"/>
        </w:rPr>
        <w:t>万元。公车运行维护费支出与预算持平，较上年增加0.03万元，增长1.6%，</w:t>
      </w:r>
      <w:r>
        <w:rPr>
          <w:rFonts w:hint="eastAsia" w:ascii="仿宋" w:hAnsi="仿宋" w:eastAsia="仿宋"/>
          <w:kern w:val="2"/>
          <w:sz w:val="32"/>
          <w:szCs w:val="32"/>
          <w:highlight w:val="none"/>
          <w:lang w:val="en-US" w:eastAsia="zh-CN"/>
        </w:rPr>
        <w:t>维修费增加</w:t>
      </w:r>
      <w:r>
        <w:rPr>
          <w:rFonts w:ascii="仿宋" w:hAnsi="仿宋" w:eastAsia="仿宋"/>
          <w:kern w:val="2"/>
          <w:sz w:val="32"/>
          <w:szCs w:val="32"/>
          <w:highlight w:val="none"/>
          <w:lang w:val="zh-CN"/>
        </w:rPr>
        <w:t>。</w:t>
      </w:r>
    </w:p>
    <w:p w14:paraId="7D360A8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14:paraId="1D3FAD1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2EE064E3">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单位性质非行政单位和参照公务员管理事业单位，故无机关运行经费</w:t>
      </w:r>
      <w:r>
        <w:rPr>
          <w:rFonts w:ascii="仿宋" w:hAnsi="仿宋" w:eastAsia="仿宋"/>
          <w:kern w:val="2"/>
          <w:sz w:val="32"/>
          <w:szCs w:val="32"/>
          <w:lang w:val="zh-CN"/>
        </w:rPr>
        <w:t>。</w:t>
      </w:r>
    </w:p>
    <w:p w14:paraId="718B12E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7F614231">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本单位202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14:paraId="51355201">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6975E2F0">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年12月31日，本单位共有车辆5辆，比上年减少1辆。其中，副部（省）级及以上领导用车0辆，主要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用车0辆，机要通信用车0辆，应急保障用车5辆，执法执勤用车0辆，特种专业技术用车0辆，离退休干部用车0辆，其他用车0辆。</w:t>
      </w:r>
    </w:p>
    <w:p w14:paraId="0597C21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29FE8C8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25620783">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3CC6F8B8">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根据预算绩效管理要求，本单位组织对2023年度一般公共预算项目支出全面开展绩效自评，其中，一级项目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1</w:t>
      </w:r>
      <w:r>
        <w:rPr>
          <w:rFonts w:ascii="仿宋" w:hAnsi="仿宋" w:eastAsia="仿宋"/>
          <w:kern w:val="2"/>
          <w:sz w:val="32"/>
          <w:szCs w:val="32"/>
          <w:lang w:val="zh-CN"/>
        </w:rPr>
        <w:t>个，共涉及资金</w:t>
      </w:r>
      <w:r>
        <w:rPr>
          <w:rFonts w:hint="eastAsia" w:ascii="仿宋" w:hAnsi="仿宋" w:eastAsia="仿宋"/>
          <w:kern w:val="2"/>
          <w:sz w:val="32"/>
          <w:szCs w:val="32"/>
          <w:lang w:val="en-US" w:eastAsia="zh-CN"/>
        </w:rPr>
        <w:t>3</w:t>
      </w:r>
      <w:r>
        <w:rPr>
          <w:rFonts w:ascii="仿宋" w:hAnsi="仿宋" w:eastAsia="仿宋"/>
          <w:kern w:val="2"/>
          <w:sz w:val="32"/>
          <w:szCs w:val="32"/>
          <w:lang w:val="zh-CN"/>
        </w:rPr>
        <w:t>万元，占一般公共预算项目支出总额的XX%。组织对2023年度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0</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个国有资本经营预算项目支出开展绩效自评，共涉及资金</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万元，占国有资本经营预算项目支出总额的</w:t>
      </w:r>
      <w:r>
        <w:rPr>
          <w:rFonts w:hint="eastAsia" w:ascii="仿宋" w:hAnsi="仿宋" w:eastAsia="仿宋"/>
          <w:kern w:val="2"/>
          <w:sz w:val="32"/>
          <w:szCs w:val="32"/>
          <w:lang w:val="en-US" w:eastAsia="zh-CN"/>
        </w:rPr>
        <w:t>0</w:t>
      </w:r>
      <w:r>
        <w:rPr>
          <w:rFonts w:ascii="仿宋" w:hAnsi="仿宋" w:eastAsia="仿宋"/>
          <w:kern w:val="2"/>
          <w:sz w:val="32"/>
          <w:szCs w:val="32"/>
          <w:lang w:val="zh-CN"/>
        </w:rPr>
        <w:t>%。</w:t>
      </w:r>
    </w:p>
    <w:p w14:paraId="4CDE982E">
      <w:pPr>
        <w:pStyle w:val="10"/>
        <w:widowControl/>
        <w:snapToGrid w:val="0"/>
        <w:spacing w:beforeAutospacing="0" w:afterAutospacing="0" w:line="360" w:lineRule="auto"/>
        <w:ind w:firstLine="640" w:firstLineChars="200"/>
        <w:rPr>
          <w:rFonts w:hint="eastAsia" w:ascii="仿宋" w:hAnsi="仿宋" w:eastAsia="仿宋"/>
          <w:sz w:val="32"/>
          <w:szCs w:val="32"/>
          <w:highlight w:val="none"/>
          <w:lang w:val="en-US" w:eastAsia="zh-CN"/>
        </w:rPr>
      </w:pPr>
      <w:r>
        <w:rPr>
          <w:rFonts w:ascii="仿宋" w:hAnsi="仿宋" w:eastAsia="仿宋"/>
          <w:kern w:val="2"/>
          <w:sz w:val="32"/>
          <w:szCs w:val="32"/>
          <w:lang w:val="zh-CN"/>
        </w:rPr>
        <w:t>组织对“</w:t>
      </w:r>
      <w:r>
        <w:rPr>
          <w:rFonts w:hint="eastAsia" w:ascii="仿宋" w:hAnsi="仿宋" w:eastAsia="仿宋"/>
          <w:kern w:val="2"/>
          <w:sz w:val="32"/>
          <w:szCs w:val="32"/>
          <w:lang w:val="en-US" w:eastAsia="zh-CN"/>
        </w:rPr>
        <w:t>公交站牌维修和支出</w:t>
      </w:r>
      <w:r>
        <w:rPr>
          <w:rFonts w:ascii="仿宋" w:hAnsi="仿宋" w:eastAsia="仿宋"/>
          <w:kern w:val="2"/>
          <w:sz w:val="32"/>
          <w:szCs w:val="32"/>
          <w:lang w:val="zh-CN"/>
        </w:rPr>
        <w:t>”等</w:t>
      </w:r>
      <w:r>
        <w:rPr>
          <w:rFonts w:hint="eastAsia" w:ascii="仿宋" w:hAnsi="仿宋" w:eastAsia="仿宋"/>
          <w:kern w:val="2"/>
          <w:sz w:val="32"/>
          <w:szCs w:val="32"/>
          <w:lang w:val="en-US" w:eastAsia="zh-CN"/>
        </w:rPr>
        <w:t>1</w:t>
      </w:r>
      <w:r>
        <w:rPr>
          <w:rFonts w:ascii="仿宋" w:hAnsi="仿宋" w:eastAsia="仿宋"/>
          <w:kern w:val="2"/>
          <w:sz w:val="32"/>
          <w:szCs w:val="32"/>
          <w:lang w:val="zh-CN"/>
        </w:rPr>
        <w:t>个项目开展了部门评价，涉及一般公共预算支出</w:t>
      </w:r>
      <w:r>
        <w:rPr>
          <w:rFonts w:hint="eastAsia" w:ascii="仿宋" w:hAnsi="仿宋" w:eastAsia="仿宋"/>
          <w:kern w:val="2"/>
          <w:sz w:val="32"/>
          <w:szCs w:val="32"/>
          <w:lang w:val="en-US" w:eastAsia="zh-CN"/>
        </w:rPr>
        <w:t>3</w:t>
      </w:r>
      <w:r>
        <w:rPr>
          <w:rFonts w:ascii="仿宋" w:hAnsi="仿宋" w:eastAsia="仿宋"/>
          <w:kern w:val="2"/>
          <w:sz w:val="32"/>
          <w:szCs w:val="32"/>
          <w:lang w:val="zh-CN"/>
        </w:rPr>
        <w:t>万元，政府性基金预算支出</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en-US" w:eastAsia="zh-CN"/>
        </w:rPr>
        <w:t>0</w:t>
      </w:r>
      <w:r>
        <w:rPr>
          <w:rFonts w:ascii="仿宋" w:hAnsi="仿宋" w:eastAsia="仿宋"/>
          <w:kern w:val="2"/>
          <w:sz w:val="32"/>
          <w:szCs w:val="32"/>
          <w:lang w:val="zh-CN"/>
        </w:rPr>
        <w:t>万元。从评价情况来看，</w:t>
      </w:r>
      <w:r>
        <w:rPr>
          <w:rFonts w:hint="eastAsia" w:ascii="仿宋" w:hAnsi="仿宋" w:eastAsia="仿宋"/>
          <w:kern w:val="2"/>
          <w:sz w:val="32"/>
          <w:szCs w:val="32"/>
          <w:lang w:val="en-US" w:eastAsia="zh-CN"/>
        </w:rPr>
        <w:t>符合项目整体要求，各项目</w:t>
      </w:r>
      <w:r>
        <w:rPr>
          <w:rFonts w:hint="eastAsia" w:ascii="仿宋" w:hAnsi="仿宋" w:eastAsia="仿宋"/>
          <w:kern w:val="2"/>
          <w:sz w:val="32"/>
          <w:szCs w:val="32"/>
          <w:highlight w:val="none"/>
          <w:lang w:val="en-US" w:eastAsia="zh-CN"/>
        </w:rPr>
        <w:t>标</w:t>
      </w:r>
      <w:r>
        <w:rPr>
          <w:rFonts w:hint="eastAsia" w:ascii="仿宋" w:hAnsi="仿宋" w:eastAsia="仿宋"/>
          <w:sz w:val="32"/>
          <w:szCs w:val="32"/>
          <w:highlight w:val="none"/>
          <w:lang w:val="en-US" w:eastAsia="zh-CN"/>
        </w:rPr>
        <w:t>完成较好。</w:t>
      </w:r>
    </w:p>
    <w:p w14:paraId="1C32F6A5">
      <w:pPr>
        <w:pStyle w:val="10"/>
        <w:widowControl/>
        <w:snapToGrid w:val="0"/>
        <w:spacing w:beforeAutospacing="0" w:afterAutospacing="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w:t>
      </w:r>
    </w:p>
    <w:p w14:paraId="6A2CDBF9">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 xml:space="preserve">本单位在今年部门决算公开中反映 </w:t>
      </w:r>
      <w:r>
        <w:rPr>
          <w:rFonts w:hint="eastAsia" w:ascii="仿宋" w:hAnsi="仿宋" w:eastAsia="仿宋"/>
          <w:kern w:val="2"/>
          <w:sz w:val="32"/>
          <w:szCs w:val="32"/>
          <w:lang w:val="en-US" w:eastAsia="zh-CN"/>
        </w:rPr>
        <w:t>1</w:t>
      </w:r>
      <w:r>
        <w:rPr>
          <w:rFonts w:ascii="仿宋" w:hAnsi="仿宋" w:eastAsia="仿宋"/>
          <w:kern w:val="2"/>
          <w:sz w:val="32"/>
          <w:szCs w:val="32"/>
          <w:lang w:val="zh-CN"/>
        </w:rPr>
        <w:t>项目绩效自评结果。</w:t>
      </w:r>
    </w:p>
    <w:p w14:paraId="76AA1745">
      <w:pPr>
        <w:pStyle w:val="10"/>
        <w:widowControl/>
        <w:snapToGrid w:val="0"/>
        <w:spacing w:beforeAutospacing="0" w:afterAutospacing="0" w:line="360" w:lineRule="auto"/>
        <w:ind w:firstLine="640" w:firstLineChars="20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kern w:val="2"/>
          <w:sz w:val="32"/>
          <w:szCs w:val="32"/>
          <w:lang w:val="en-US" w:eastAsia="zh-CN"/>
        </w:rPr>
        <w:t>公共站牌维修</w:t>
      </w:r>
      <w:r>
        <w:rPr>
          <w:rFonts w:ascii="仿宋" w:hAnsi="仿宋" w:eastAsia="仿宋"/>
          <w:kern w:val="2"/>
          <w:sz w:val="32"/>
          <w:szCs w:val="32"/>
          <w:lang w:val="zh-CN"/>
        </w:rPr>
        <w:t>项目绩效自评情况：根据年初设定的绩效目标，</w:t>
      </w:r>
      <w:r>
        <w:rPr>
          <w:rFonts w:hint="eastAsia" w:ascii="仿宋" w:hAnsi="仿宋" w:eastAsia="仿宋"/>
          <w:kern w:val="2"/>
          <w:sz w:val="32"/>
          <w:szCs w:val="32"/>
          <w:lang w:val="en-US" w:eastAsia="zh-CN"/>
        </w:rPr>
        <w:t>公共站牌维修</w:t>
      </w:r>
      <w:r>
        <w:rPr>
          <w:rFonts w:ascii="仿宋" w:hAnsi="仿宋" w:eastAsia="仿宋"/>
          <w:kern w:val="2"/>
          <w:sz w:val="32"/>
          <w:szCs w:val="32"/>
          <w:lang w:val="zh-CN"/>
        </w:rPr>
        <w:t>项目绩效自评得分为</w:t>
      </w:r>
      <w:r>
        <w:rPr>
          <w:rFonts w:hint="eastAsia" w:ascii="仿宋" w:hAnsi="仿宋" w:eastAsia="仿宋"/>
          <w:kern w:val="2"/>
          <w:sz w:val="32"/>
          <w:szCs w:val="32"/>
          <w:lang w:val="en-US" w:eastAsia="zh-CN"/>
        </w:rPr>
        <w:t>95</w:t>
      </w:r>
      <w:r>
        <w:rPr>
          <w:rFonts w:ascii="仿宋" w:hAnsi="仿宋" w:eastAsia="仿宋"/>
          <w:kern w:val="2"/>
          <w:sz w:val="32"/>
          <w:szCs w:val="32"/>
          <w:lang w:val="zh-CN"/>
        </w:rPr>
        <w:t>分（绩效自评表附后）。全年预算数为</w:t>
      </w:r>
      <w:r>
        <w:rPr>
          <w:rFonts w:hint="eastAsia" w:ascii="仿宋" w:hAnsi="仿宋" w:eastAsia="仿宋"/>
          <w:kern w:val="2"/>
          <w:sz w:val="32"/>
          <w:szCs w:val="32"/>
          <w:lang w:val="en-US" w:eastAsia="zh-CN"/>
        </w:rPr>
        <w:t>6</w:t>
      </w:r>
      <w:r>
        <w:rPr>
          <w:rFonts w:ascii="仿宋" w:hAnsi="仿宋" w:eastAsia="仿宋"/>
          <w:kern w:val="2"/>
          <w:sz w:val="32"/>
          <w:szCs w:val="32"/>
          <w:lang w:val="zh-CN"/>
        </w:rPr>
        <w:t>万元，执行数为</w:t>
      </w:r>
      <w:r>
        <w:rPr>
          <w:rFonts w:hint="eastAsia" w:ascii="仿宋" w:hAnsi="仿宋" w:eastAsia="仿宋"/>
          <w:kern w:val="2"/>
          <w:sz w:val="32"/>
          <w:szCs w:val="32"/>
          <w:lang w:val="en-US" w:eastAsia="zh-CN"/>
        </w:rPr>
        <w:t>6</w:t>
      </w:r>
      <w:r>
        <w:rPr>
          <w:rFonts w:ascii="仿宋" w:hAnsi="仿宋" w:eastAsia="仿宋"/>
          <w:kern w:val="2"/>
          <w:sz w:val="32"/>
          <w:szCs w:val="32"/>
          <w:lang w:val="zh-CN"/>
        </w:rPr>
        <w:t>万元，完成预算的</w:t>
      </w:r>
      <w:r>
        <w:rPr>
          <w:rFonts w:hint="eastAsia" w:ascii="仿宋" w:hAnsi="仿宋" w:eastAsia="仿宋"/>
          <w:kern w:val="2"/>
          <w:sz w:val="32"/>
          <w:szCs w:val="32"/>
          <w:lang w:val="en-US" w:eastAsia="zh-CN"/>
        </w:rPr>
        <w:t>100</w:t>
      </w:r>
      <w:r>
        <w:rPr>
          <w:rFonts w:ascii="仿宋" w:hAnsi="仿宋" w:eastAsia="仿宋"/>
          <w:kern w:val="2"/>
          <w:sz w:val="32"/>
          <w:szCs w:val="32"/>
          <w:lang w:val="zh-CN"/>
        </w:rPr>
        <w:t>%。项目绩效目标完成情况：一是</w:t>
      </w:r>
      <w:r>
        <w:rPr>
          <w:rFonts w:hint="eastAsia" w:ascii="仿宋" w:hAnsi="仿宋" w:eastAsia="仿宋"/>
          <w:kern w:val="2"/>
          <w:sz w:val="32"/>
          <w:szCs w:val="32"/>
          <w:lang w:val="en-US" w:eastAsia="zh-CN"/>
        </w:rPr>
        <w:t>较好的为区域环境提升和招商引资做好了基础工作</w:t>
      </w:r>
      <w:r>
        <w:rPr>
          <w:rFonts w:ascii="仿宋" w:hAnsi="仿宋" w:eastAsia="仿宋"/>
          <w:kern w:val="2"/>
          <w:sz w:val="32"/>
          <w:szCs w:val="32"/>
          <w:lang w:val="zh-CN"/>
        </w:rPr>
        <w:t>；二是</w:t>
      </w:r>
      <w:r>
        <w:rPr>
          <w:rFonts w:hint="eastAsia" w:ascii="仿宋" w:hAnsi="仿宋" w:eastAsia="仿宋"/>
          <w:kern w:val="2"/>
          <w:sz w:val="32"/>
          <w:szCs w:val="32"/>
          <w:lang w:val="en-US" w:eastAsia="zh-CN"/>
        </w:rPr>
        <w:t>为百姓方便出行提供了便利</w:t>
      </w:r>
      <w:r>
        <w:rPr>
          <w:rFonts w:ascii="仿宋" w:hAnsi="仿宋" w:eastAsia="仿宋"/>
          <w:kern w:val="2"/>
          <w:sz w:val="32"/>
          <w:szCs w:val="32"/>
          <w:lang w:val="zh-CN"/>
        </w:rPr>
        <w:t>。发现的主要问题及原因是：一是</w:t>
      </w:r>
      <w:r>
        <w:rPr>
          <w:rFonts w:hint="eastAsia" w:ascii="仿宋" w:hAnsi="仿宋" w:eastAsia="仿宋"/>
          <w:kern w:val="2"/>
          <w:sz w:val="32"/>
          <w:szCs w:val="32"/>
          <w:lang w:val="en-US" w:eastAsia="zh-CN"/>
        </w:rPr>
        <w:t>更换的及时</w:t>
      </w:r>
      <w:r>
        <w:rPr>
          <w:rFonts w:ascii="仿宋" w:hAnsi="仿宋" w:eastAsia="仿宋"/>
          <w:kern w:val="2"/>
          <w:sz w:val="32"/>
          <w:szCs w:val="32"/>
          <w:lang w:val="zh-CN"/>
        </w:rPr>
        <w:t>；二是</w:t>
      </w:r>
      <w:r>
        <w:rPr>
          <w:rFonts w:hint="eastAsia" w:ascii="仿宋" w:hAnsi="仿宋" w:eastAsia="仿宋"/>
          <w:kern w:val="2"/>
          <w:sz w:val="32"/>
          <w:szCs w:val="32"/>
          <w:lang w:val="en-US" w:eastAsia="zh-CN"/>
        </w:rPr>
        <w:t>资金分配合理和支付的及时性</w:t>
      </w:r>
      <w:r>
        <w:rPr>
          <w:rFonts w:ascii="仿宋" w:hAnsi="仿宋" w:eastAsia="仿宋"/>
          <w:kern w:val="2"/>
          <w:sz w:val="32"/>
          <w:szCs w:val="32"/>
          <w:lang w:val="zh-CN"/>
        </w:rPr>
        <w:t>。下一步改进措施：</w:t>
      </w:r>
      <w:r>
        <w:rPr>
          <w:rFonts w:hint="eastAsia" w:ascii="仿宋" w:hAnsi="仿宋" w:eastAsia="仿宋"/>
          <w:kern w:val="2"/>
          <w:sz w:val="32"/>
          <w:szCs w:val="32"/>
          <w:lang w:val="en-US" w:eastAsia="zh-CN"/>
        </w:rPr>
        <w:t>提前指定工作规划严格按照工作规划进行，做到及时更换</w:t>
      </w:r>
      <w:r>
        <w:rPr>
          <w:rFonts w:ascii="仿宋" w:hAnsi="仿宋" w:eastAsia="仿宋"/>
          <w:kern w:val="2"/>
          <w:sz w:val="32"/>
          <w:szCs w:val="32"/>
          <w:lang w:val="zh-CN"/>
        </w:rPr>
        <w:t>；二是</w:t>
      </w:r>
      <w:r>
        <w:rPr>
          <w:rFonts w:hint="eastAsia" w:ascii="仿宋" w:hAnsi="仿宋" w:eastAsia="仿宋"/>
          <w:kern w:val="2"/>
          <w:sz w:val="32"/>
          <w:szCs w:val="32"/>
          <w:lang w:val="en-US" w:eastAsia="zh-CN"/>
        </w:rPr>
        <w:t>申请资金确保金分配合理并及时支付，</w:t>
      </w:r>
      <w:r>
        <w:rPr>
          <w:rFonts w:ascii="仿宋" w:hAnsi="仿宋" w:eastAsia="仿宋"/>
          <w:color w:val="000000" w:themeColor="text1"/>
          <w:sz w:val="32"/>
          <w:szCs w:val="32"/>
          <w:highlight w:val="none"/>
          <w14:textFill>
            <w14:solidFill>
              <w14:schemeClr w14:val="tx1"/>
            </w14:solidFill>
          </w14:textFill>
        </w:rPr>
        <w:t>通过</w:t>
      </w:r>
      <w:r>
        <w:rPr>
          <w:rFonts w:hint="eastAsia" w:ascii="仿宋" w:hAnsi="仿宋" w:eastAsia="仿宋"/>
          <w:color w:val="000000" w:themeColor="text1"/>
          <w:sz w:val="32"/>
          <w:szCs w:val="32"/>
          <w:highlight w:val="none"/>
          <w:lang w:val="en-US" w:eastAsia="zh-CN"/>
          <w14:textFill>
            <w14:solidFill>
              <w14:schemeClr w14:val="tx1"/>
            </w14:solidFill>
          </w14:textFill>
        </w:rPr>
        <w:t>以上</w:t>
      </w:r>
      <w:r>
        <w:rPr>
          <w:rFonts w:ascii="仿宋" w:hAnsi="仿宋" w:eastAsia="仿宋"/>
          <w:color w:val="000000" w:themeColor="text1"/>
          <w:sz w:val="32"/>
          <w:szCs w:val="32"/>
          <w:highlight w:val="none"/>
          <w14:textFill>
            <w14:solidFill>
              <w14:schemeClr w14:val="tx1"/>
            </w14:solidFill>
          </w14:textFill>
        </w:rPr>
        <w:t>项目实施，完成了年初设定的各项绩效目标，完成</w:t>
      </w:r>
      <w:r>
        <w:rPr>
          <w:rFonts w:hint="eastAsia" w:ascii="仿宋" w:hAnsi="仿宋" w:eastAsia="仿宋"/>
          <w:color w:val="000000" w:themeColor="text1"/>
          <w:sz w:val="32"/>
          <w:szCs w:val="32"/>
          <w:highlight w:val="none"/>
          <w:lang w:val="en-US" w:eastAsia="zh-CN"/>
          <w14:textFill>
            <w14:solidFill>
              <w14:schemeClr w14:val="tx1"/>
            </w14:solidFill>
          </w14:textFill>
        </w:rPr>
        <w:t>了方便出行</w:t>
      </w:r>
      <w:r>
        <w:rPr>
          <w:rFonts w:ascii="仿宋" w:hAnsi="仿宋" w:eastAsia="仿宋"/>
          <w:color w:val="000000" w:themeColor="text1"/>
          <w:sz w:val="32"/>
          <w:szCs w:val="32"/>
          <w:highlight w:val="none"/>
          <w14:textFill>
            <w14:solidFill>
              <w14:schemeClr w14:val="tx1"/>
            </w14:solidFill>
          </w14:textFill>
        </w:rPr>
        <w:t>;完成</w:t>
      </w:r>
      <w:r>
        <w:rPr>
          <w:rFonts w:hint="eastAsia" w:ascii="仿宋" w:hAnsi="仿宋" w:eastAsia="仿宋"/>
          <w:color w:val="000000" w:themeColor="text1"/>
          <w:sz w:val="32"/>
          <w:szCs w:val="32"/>
          <w:highlight w:val="none"/>
          <w:lang w:val="en-US" w:eastAsia="zh-CN"/>
          <w14:textFill>
            <w14:solidFill>
              <w14:schemeClr w14:val="tx1"/>
            </w14:solidFill>
          </w14:textFill>
        </w:rPr>
        <w:t>并改善了区域环境</w:t>
      </w:r>
      <w:r>
        <w:rPr>
          <w:rFonts w:ascii="仿宋" w:hAnsi="仿宋" w:eastAsia="仿宋"/>
          <w:color w:val="000000" w:themeColor="text1"/>
          <w:sz w:val="32"/>
          <w:szCs w:val="32"/>
          <w:highlight w:val="none"/>
          <w14:textFill>
            <w14:solidFill>
              <w14:schemeClr w14:val="tx1"/>
            </w14:solidFill>
          </w14:textFill>
        </w:rPr>
        <w:t>。</w:t>
      </w:r>
    </w:p>
    <w:p w14:paraId="6E0B0980">
      <w:pPr>
        <w:pStyle w:val="10"/>
        <w:widowControl/>
        <w:snapToGrid w:val="0"/>
        <w:spacing w:beforeAutospacing="0" w:afterAutospacing="0" w:line="360" w:lineRule="auto"/>
        <w:ind w:firstLine="640" w:firstLineChars="200"/>
        <w:rPr>
          <w:rFonts w:hint="eastAsia" w:ascii="仿宋" w:hAnsi="仿宋" w:eastAsia="仿宋"/>
          <w:kern w:val="2"/>
          <w:sz w:val="32"/>
          <w:szCs w:val="32"/>
          <w:lang w:val="en-US" w:eastAsia="zh-CN"/>
        </w:rPr>
      </w:pPr>
      <w:r>
        <w:rPr>
          <w:rFonts w:hint="eastAsia" w:ascii="仿宋" w:hAnsi="仿宋" w:eastAsia="仿宋"/>
          <w:kern w:val="2"/>
          <w:sz w:val="32"/>
          <w:szCs w:val="32"/>
          <w:lang w:val="en-US" w:eastAsia="zh-CN"/>
        </w:rPr>
        <w:t>公共站牌维修</w:t>
      </w:r>
      <w:r>
        <w:rPr>
          <w:rFonts w:ascii="仿宋" w:hAnsi="仿宋" w:eastAsia="仿宋"/>
          <w:kern w:val="2"/>
          <w:sz w:val="32"/>
          <w:szCs w:val="32"/>
          <w:lang w:val="zh-CN"/>
        </w:rPr>
        <w:t>项目绩效自评情况。</w:t>
      </w:r>
      <w:r>
        <w:rPr>
          <w:rFonts w:hint="eastAsia" w:ascii="仿宋" w:hAnsi="仿宋" w:eastAsia="仿宋"/>
          <w:kern w:val="2"/>
          <w:sz w:val="32"/>
          <w:szCs w:val="32"/>
          <w:lang w:val="en-US" w:eastAsia="zh-CN"/>
        </w:rPr>
        <w:t>90分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973"/>
        <w:gridCol w:w="1420"/>
        <w:gridCol w:w="1420"/>
        <w:gridCol w:w="1421"/>
        <w:gridCol w:w="1421"/>
      </w:tblGrid>
      <w:tr w14:paraId="25CF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867" w:type="dxa"/>
            <w:vAlign w:val="center"/>
          </w:tcPr>
          <w:p w14:paraId="06474609">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序号</w:t>
            </w:r>
          </w:p>
        </w:tc>
        <w:tc>
          <w:tcPr>
            <w:tcW w:w="1973" w:type="dxa"/>
            <w:vAlign w:val="center"/>
          </w:tcPr>
          <w:p w14:paraId="5532F8C5">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名称</w:t>
            </w:r>
          </w:p>
        </w:tc>
        <w:tc>
          <w:tcPr>
            <w:tcW w:w="1420" w:type="dxa"/>
            <w:vAlign w:val="center"/>
          </w:tcPr>
          <w:p w14:paraId="13250120">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预算数</w:t>
            </w:r>
          </w:p>
        </w:tc>
        <w:tc>
          <w:tcPr>
            <w:tcW w:w="1420" w:type="dxa"/>
            <w:vAlign w:val="center"/>
          </w:tcPr>
          <w:p w14:paraId="6FAA082F">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预算单位</w:t>
            </w:r>
          </w:p>
        </w:tc>
        <w:tc>
          <w:tcPr>
            <w:tcW w:w="1421" w:type="dxa"/>
            <w:vAlign w:val="center"/>
          </w:tcPr>
          <w:p w14:paraId="61407D3F">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评分</w:t>
            </w:r>
          </w:p>
        </w:tc>
        <w:tc>
          <w:tcPr>
            <w:tcW w:w="1421" w:type="dxa"/>
            <w:vAlign w:val="center"/>
          </w:tcPr>
          <w:p w14:paraId="36285C8A">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结果</w:t>
            </w:r>
          </w:p>
        </w:tc>
      </w:tr>
      <w:tr w14:paraId="24AF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14:paraId="39A8F49F">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1</w:t>
            </w:r>
          </w:p>
        </w:tc>
        <w:tc>
          <w:tcPr>
            <w:tcW w:w="1973" w:type="dxa"/>
            <w:vAlign w:val="center"/>
          </w:tcPr>
          <w:p w14:paraId="76A11E8E">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公交站牌维修</w:t>
            </w:r>
          </w:p>
        </w:tc>
        <w:tc>
          <w:tcPr>
            <w:tcW w:w="1420" w:type="dxa"/>
            <w:vAlign w:val="center"/>
          </w:tcPr>
          <w:p w14:paraId="78C8D84C">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6</w:t>
            </w:r>
          </w:p>
        </w:tc>
        <w:tc>
          <w:tcPr>
            <w:tcW w:w="1420" w:type="dxa"/>
            <w:vAlign w:val="center"/>
          </w:tcPr>
          <w:p w14:paraId="56C03BB1">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秦皇岛经济技术开发区运输管理站</w:t>
            </w:r>
          </w:p>
        </w:tc>
        <w:tc>
          <w:tcPr>
            <w:tcW w:w="1421" w:type="dxa"/>
            <w:vAlign w:val="center"/>
          </w:tcPr>
          <w:p w14:paraId="33B0665A">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95</w:t>
            </w:r>
          </w:p>
        </w:tc>
        <w:tc>
          <w:tcPr>
            <w:tcW w:w="1421" w:type="dxa"/>
            <w:vAlign w:val="center"/>
          </w:tcPr>
          <w:p w14:paraId="28A2A01B">
            <w:pPr>
              <w:pStyle w:val="10"/>
              <w:widowControl/>
              <w:snapToGrid w:val="0"/>
              <w:spacing w:beforeAutospacing="0" w:afterAutospacing="0" w:line="360" w:lineRule="auto"/>
              <w:jc w:val="both"/>
              <w:rPr>
                <w:rFonts w:hint="default" w:ascii="仿宋" w:hAnsi="仿宋" w:eastAsia="仿宋"/>
                <w:kern w:val="2"/>
                <w:sz w:val="21"/>
                <w:szCs w:val="21"/>
                <w:vertAlign w:val="baseline"/>
                <w:lang w:val="en-US" w:eastAsia="zh-CN"/>
              </w:rPr>
            </w:pPr>
            <w:r>
              <w:rPr>
                <w:rFonts w:hint="eastAsia" w:ascii="仿宋" w:hAnsi="仿宋" w:eastAsia="仿宋"/>
                <w:kern w:val="2"/>
                <w:sz w:val="21"/>
                <w:szCs w:val="21"/>
                <w:vertAlign w:val="baseline"/>
                <w:lang w:val="en-US" w:eastAsia="zh-CN"/>
              </w:rPr>
              <w:t>优</w:t>
            </w:r>
          </w:p>
        </w:tc>
      </w:tr>
    </w:tbl>
    <w:p w14:paraId="0D451461">
      <w:pPr>
        <w:pStyle w:val="10"/>
        <w:widowControl/>
        <w:snapToGrid w:val="0"/>
        <w:spacing w:beforeAutospacing="0" w:afterAutospacing="0" w:line="360" w:lineRule="auto"/>
        <w:ind w:firstLine="640" w:firstLineChars="200"/>
        <w:rPr>
          <w:rFonts w:hint="eastAsia" w:ascii="仿宋" w:hAnsi="仿宋" w:eastAsia="仿宋"/>
          <w:kern w:val="2"/>
          <w:sz w:val="32"/>
          <w:szCs w:val="32"/>
          <w:lang w:val="en-US" w:eastAsia="zh-CN"/>
        </w:rPr>
      </w:pPr>
    </w:p>
    <w:p w14:paraId="6BAFD9F5">
      <w:pPr>
        <w:pStyle w:val="10"/>
        <w:widowControl/>
        <w:snapToGrid w:val="0"/>
        <w:spacing w:beforeAutospacing="0" w:afterAutospacing="0" w:line="360" w:lineRule="auto"/>
        <w:ind w:firstLine="640" w:firstLineChars="200"/>
        <w:rPr>
          <w:rFonts w:hint="eastAsia" w:ascii="仿宋" w:hAnsi="仿宋" w:eastAsia="仿宋"/>
          <w:kern w:val="2"/>
          <w:sz w:val="32"/>
          <w:szCs w:val="32"/>
          <w:lang w:val="en-US" w:eastAsia="zh-CN"/>
        </w:rPr>
      </w:pPr>
    </w:p>
    <w:p w14:paraId="38785A9A">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14:paraId="7C389D62">
      <w:pPr>
        <w:adjustRightInd w:val="0"/>
        <w:snapToGrid w:val="0"/>
        <w:spacing w:after="0" w:line="360" w:lineRule="auto"/>
        <w:ind w:firstLine="320" w:firstLineChars="100"/>
        <w:rPr>
          <w:rFonts w:hint="eastAsia" w:ascii="仿宋" w:hAnsi="仿宋" w:eastAsia="仿宋" w:cs="仿宋_GB2312"/>
          <w:b/>
          <w:bCs/>
          <w:color w:val="auto"/>
          <w:sz w:val="32"/>
          <w:szCs w:val="32"/>
          <w:highlight w:val="none"/>
          <w:lang w:eastAsia="zh-CN"/>
        </w:rPr>
      </w:pPr>
      <w:r>
        <w:rPr>
          <w:rFonts w:hint="eastAsia" w:ascii="仿宋" w:hAnsi="仿宋" w:eastAsia="仿宋" w:cs="仿宋_GB2312"/>
          <w:color w:val="auto"/>
          <w:sz w:val="32"/>
          <w:szCs w:val="32"/>
          <w:highlight w:val="none"/>
        </w:rPr>
        <w:t>无部门评价项目绩效评价结果</w:t>
      </w:r>
      <w:r>
        <w:rPr>
          <w:rFonts w:hint="eastAsia" w:ascii="仿宋" w:hAnsi="仿宋" w:eastAsia="仿宋" w:cs="仿宋_GB2312"/>
          <w:color w:val="auto"/>
          <w:sz w:val="32"/>
          <w:szCs w:val="32"/>
          <w:highlight w:val="none"/>
          <w:lang w:eastAsia="zh-CN"/>
        </w:rPr>
        <w:t>。</w:t>
      </w:r>
    </w:p>
    <w:p w14:paraId="22FAB7D5">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14:paraId="076B2A58">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1.本单位2023年度政府性基金预算财政拨款无收支及结转结余情况, 故公开07表以空表列示；国有资本经营预算经费无收支及结转结余情况, 故公开08表以空表列示。</w:t>
      </w:r>
    </w:p>
    <w:p w14:paraId="669E9FCD">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60AA8AF5">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08DC17D">
      <w:pPr>
        <w:adjustRightInd w:val="0"/>
        <w:snapToGrid w:val="0"/>
        <w:spacing w:line="580" w:lineRule="exact"/>
        <w:ind w:firstLine="640" w:firstLineChars="200"/>
        <w:rPr>
          <w:rFonts w:ascii="Times New Roman" w:hAnsi="Times New Roman" w:eastAsia="仿宋_GB2312" w:cs="Times New Roman"/>
          <w:sz w:val="32"/>
          <w:szCs w:val="32"/>
        </w:rPr>
      </w:pPr>
    </w:p>
    <w:p w14:paraId="682F4AAD">
      <w:pPr>
        <w:adjustRightInd w:val="0"/>
        <w:snapToGrid w:val="0"/>
        <w:spacing w:line="580" w:lineRule="exact"/>
        <w:rPr>
          <w:rFonts w:ascii="Times New Roman" w:hAnsi="Times New Roman" w:eastAsia="仿宋_GB2312" w:cs="Times New Roman"/>
          <w:sz w:val="32"/>
          <w:szCs w:val="32"/>
        </w:rPr>
      </w:pPr>
    </w:p>
    <w:p w14:paraId="7950B532">
      <w:pPr>
        <w:adjustRightInd w:val="0"/>
        <w:snapToGrid w:val="0"/>
        <w:spacing w:line="580" w:lineRule="exact"/>
        <w:ind w:firstLine="640" w:firstLineChars="200"/>
        <w:rPr>
          <w:rFonts w:ascii="Times New Roman" w:hAnsi="Times New Roman" w:eastAsia="仿宋_GB2312" w:cs="Times New Roman"/>
          <w:sz w:val="32"/>
          <w:szCs w:val="32"/>
        </w:rPr>
      </w:pPr>
    </w:p>
    <w:p w14:paraId="28444404">
      <w:pPr>
        <w:adjustRightInd w:val="0"/>
        <w:snapToGrid w:val="0"/>
        <w:spacing w:line="580" w:lineRule="exact"/>
        <w:ind w:firstLine="640" w:firstLineChars="200"/>
        <w:rPr>
          <w:rFonts w:ascii="Times New Roman" w:hAnsi="Times New Roman" w:eastAsia="仿宋_GB2312" w:cs="Times New Roman"/>
          <w:sz w:val="32"/>
          <w:szCs w:val="32"/>
        </w:rPr>
      </w:pPr>
    </w:p>
    <w:p w14:paraId="5DF202E0">
      <w:pPr>
        <w:adjustRightInd w:val="0"/>
        <w:snapToGrid w:val="0"/>
        <w:spacing w:line="580" w:lineRule="exact"/>
        <w:ind w:firstLine="640" w:firstLineChars="200"/>
        <w:rPr>
          <w:rFonts w:ascii="Times New Roman" w:hAnsi="Times New Roman" w:eastAsia="仿宋_GB2312" w:cs="Times New Roman"/>
          <w:sz w:val="32"/>
          <w:szCs w:val="32"/>
        </w:rPr>
      </w:pPr>
    </w:p>
    <w:p w14:paraId="286538C6">
      <w:pPr>
        <w:widowControl/>
        <w:spacing w:line="580" w:lineRule="exact"/>
        <w:ind w:firstLine="883" w:firstLineChars="200"/>
        <w:jc w:val="left"/>
        <w:rPr>
          <w:rFonts w:ascii="Times New Roman" w:hAnsi="Times New Roman" w:eastAsia="宋体" w:cs="Times New Roman"/>
          <w:b/>
          <w:bCs/>
          <w:sz w:val="44"/>
          <w:szCs w:val="44"/>
        </w:rPr>
      </w:pPr>
    </w:p>
    <w:p w14:paraId="4E3FBEE6">
      <w:pPr>
        <w:rPr>
          <w:rFonts w:ascii="Times New Roman" w:hAnsi="Times New Roman" w:eastAsia="仿宋_GB2312" w:cs="Times New Roman"/>
          <w:sz w:val="32"/>
          <w:szCs w:val="32"/>
        </w:rPr>
      </w:pPr>
    </w:p>
    <w:p w14:paraId="7E8B558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25CB299">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93C64FB">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1CFAE360">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5FF1ACD2">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557FD10D">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2383B49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0EB4E386">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4C894227">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48BBAE0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631036E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00173F7F">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16EB9D1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67F7414B">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1390C6FD">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342E9906">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B14F19">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7F345CB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6D5518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10A4ECA1">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22168E65">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56616B1E">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257411A">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18696F2B">
      <w:pPr>
        <w:rPr>
          <w:rFonts w:ascii="Times New Roman" w:hAnsi="Times New Roman" w:cs="Times New Roman"/>
        </w:rPr>
      </w:pPr>
    </w:p>
    <w:p w14:paraId="1FDA8DAE">
      <w:pPr>
        <w:pStyle w:val="10"/>
        <w:widowControl/>
        <w:spacing w:beforeAutospacing="0" w:afterAutospacing="0"/>
        <w:rPr>
          <w:rFonts w:ascii="Times New Roman" w:hAnsi="Times New Roman" w:eastAsia="仿宋_GB2312"/>
          <w:color w:val="333333"/>
          <w:sz w:val="33"/>
          <w:szCs w:val="33"/>
          <w:shd w:val="clear" w:color="auto" w:fill="FFFFFF"/>
        </w:rPr>
      </w:pPr>
    </w:p>
    <w:p w14:paraId="1E7A0383">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B4B4762-3BCF-455A-84D7-F19EA28459A7}"/>
  </w:font>
  <w:font w:name="黑体">
    <w:panose1 w:val="02010609060101010101"/>
    <w:charset w:val="86"/>
    <w:family w:val="auto"/>
    <w:pitch w:val="default"/>
    <w:sig w:usb0="800002BF" w:usb1="38CF7CFA" w:usb2="00000016" w:usb3="00000000" w:csb0="00040001" w:csb1="00000000"/>
    <w:embedRegular r:id="rId2" w:fontKey="{CD8CFA2E-AD0A-43E5-B80F-19C3C49FFA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CE409FB1-464E-4288-8125-AE83C332CB24}"/>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4" w:fontKey="{CAA40217-FDE8-45FA-A2F2-224C1D9ECBFD}"/>
  </w:font>
  <w:font w:name="思源黑体 CN Heavy">
    <w:altName w:val="黑体"/>
    <w:panose1 w:val="00000000000000000000"/>
    <w:charset w:val="86"/>
    <w:family w:val="swiss"/>
    <w:pitch w:val="default"/>
    <w:sig w:usb0="00000000" w:usb1="00000000" w:usb2="00000016" w:usb3="00000000" w:csb0="00060107" w:csb1="00000000"/>
    <w:embedRegular r:id="rId5" w:fontKey="{1658DA39-2D77-4BDB-9325-00420FDD07B8}"/>
  </w:font>
  <w:font w:name="楷体_GB2312">
    <w:altName w:val="楷体"/>
    <w:panose1 w:val="00000000000000000000"/>
    <w:charset w:val="86"/>
    <w:family w:val="modern"/>
    <w:pitch w:val="default"/>
    <w:sig w:usb0="00000000" w:usb1="00000000" w:usb2="00000010" w:usb3="00000000" w:csb0="00040000" w:csb1="00000000"/>
    <w:embedRegular r:id="rId6" w:fontKey="{6E2259E3-3BBE-41F9-9563-833AD42362F3}"/>
  </w:font>
  <w:font w:name="仿宋_GB2312">
    <w:altName w:val="仿宋"/>
    <w:panose1 w:val="00000000000000000000"/>
    <w:charset w:val="86"/>
    <w:family w:val="modern"/>
    <w:pitch w:val="default"/>
    <w:sig w:usb0="00000000" w:usb1="00000000" w:usb2="00000010" w:usb3="00000000" w:csb0="00040000" w:csb1="00000000"/>
    <w:embedRegular r:id="rId7" w:fontKey="{5C18B0B1-3FA0-4DA0-AA8A-9DB80B016598}"/>
  </w:font>
  <w:font w:name="Batang">
    <w:panose1 w:val="02030600000101010101"/>
    <w:charset w:val="81"/>
    <w:family w:val="roman"/>
    <w:pitch w:val="default"/>
    <w:sig w:usb0="B00002AF" w:usb1="69D77CFB" w:usb2="00000030" w:usb3="00000000" w:csb0="4008009F" w:csb1="DFD70000"/>
    <w:embedRegular r:id="rId8" w:fontKey="{3FDDF983-03EE-4BA8-ACA5-4F43F4BFE52B}"/>
  </w:font>
  <w:font w:name="ArialUnicodeMS">
    <w:altName w:val="Malgun Gothic"/>
    <w:panose1 w:val="00000000000000000000"/>
    <w:charset w:val="81"/>
    <w:family w:val="auto"/>
    <w:pitch w:val="default"/>
    <w:sig w:usb0="00000000" w:usb1="00000000" w:usb2="00000010" w:usb3="00000000" w:csb0="00080001" w:csb1="00000000"/>
    <w:embedRegular r:id="rId9" w:fontKey="{32E197F9-6476-4DB2-800A-84D184D02D96}"/>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0" w:fontKey="{44DD2A25-468B-45D0-BA94-C069C885346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14:paraId="407F415E">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14:paraId="4D124D14">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14:paraId="46FDE5A1">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1CE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99760A"/>
    <w:multiLevelType w:val="singleLevel"/>
    <w:tmpl w:val="4699760A"/>
    <w:lvl w:ilvl="0" w:tentative="0">
      <w:start w:val="2"/>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UsImhkaWQiOiIzMWE1MzMwMDNjMmJhYTE1ZmE0MmVkZDFmNDA1ZThhMiIsInVzZXJDb3VudCI6M30="/>
  </w:docVars>
  <w:rsids>
    <w:rsidRoot w:val="00287DAF"/>
    <w:rsid w:val="00037B7D"/>
    <w:rsid w:val="000546A1"/>
    <w:rsid w:val="00061C12"/>
    <w:rsid w:val="00086151"/>
    <w:rsid w:val="00092BE6"/>
    <w:rsid w:val="00096086"/>
    <w:rsid w:val="0009670E"/>
    <w:rsid w:val="000B1680"/>
    <w:rsid w:val="000B20F4"/>
    <w:rsid w:val="000E17E7"/>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D1A76"/>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6E2E"/>
    <w:rsid w:val="0047323C"/>
    <w:rsid w:val="0048604A"/>
    <w:rsid w:val="00494B2C"/>
    <w:rsid w:val="004A2A12"/>
    <w:rsid w:val="004E3E3C"/>
    <w:rsid w:val="0056005C"/>
    <w:rsid w:val="00560623"/>
    <w:rsid w:val="005E67A6"/>
    <w:rsid w:val="00626BDC"/>
    <w:rsid w:val="0063657C"/>
    <w:rsid w:val="0066027C"/>
    <w:rsid w:val="0067075F"/>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71A4"/>
    <w:rsid w:val="0091307C"/>
    <w:rsid w:val="00926DCC"/>
    <w:rsid w:val="009325F5"/>
    <w:rsid w:val="0094592D"/>
    <w:rsid w:val="00952863"/>
    <w:rsid w:val="00953488"/>
    <w:rsid w:val="00A07CFF"/>
    <w:rsid w:val="00A169CA"/>
    <w:rsid w:val="00A17B27"/>
    <w:rsid w:val="00A50DF3"/>
    <w:rsid w:val="00A62C78"/>
    <w:rsid w:val="00AC6C8A"/>
    <w:rsid w:val="00AF1DD2"/>
    <w:rsid w:val="00AF3C93"/>
    <w:rsid w:val="00B03561"/>
    <w:rsid w:val="00B15D61"/>
    <w:rsid w:val="00B73503"/>
    <w:rsid w:val="00B90C6B"/>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6259"/>
    <w:rsid w:val="00DC3B1E"/>
    <w:rsid w:val="00DF45A8"/>
    <w:rsid w:val="00E03F28"/>
    <w:rsid w:val="00E20DD6"/>
    <w:rsid w:val="00E32B11"/>
    <w:rsid w:val="00E86690"/>
    <w:rsid w:val="00EB0434"/>
    <w:rsid w:val="00EC1488"/>
    <w:rsid w:val="00EE6912"/>
    <w:rsid w:val="00F002F9"/>
    <w:rsid w:val="00F03983"/>
    <w:rsid w:val="00F073C6"/>
    <w:rsid w:val="00F30220"/>
    <w:rsid w:val="00F373B5"/>
    <w:rsid w:val="00F41289"/>
    <w:rsid w:val="00F44A21"/>
    <w:rsid w:val="00F44C48"/>
    <w:rsid w:val="00F66634"/>
    <w:rsid w:val="00F67D18"/>
    <w:rsid w:val="00F705B2"/>
    <w:rsid w:val="00FA4CE8"/>
    <w:rsid w:val="00FA6F14"/>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66617B"/>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680AFE"/>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5B1AF6"/>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AC796B"/>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4C44C1"/>
    <w:rsid w:val="48692CD0"/>
    <w:rsid w:val="48AE3D01"/>
    <w:rsid w:val="49067B2F"/>
    <w:rsid w:val="49677E31"/>
    <w:rsid w:val="496C2225"/>
    <w:rsid w:val="49AE2880"/>
    <w:rsid w:val="49F42EAF"/>
    <w:rsid w:val="4A337323"/>
    <w:rsid w:val="4A5B28DC"/>
    <w:rsid w:val="4A6A67D1"/>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AD1529"/>
    <w:rsid w:val="5AEB1E3C"/>
    <w:rsid w:val="5B2507CA"/>
    <w:rsid w:val="5B2A474A"/>
    <w:rsid w:val="5B830730"/>
    <w:rsid w:val="5BAE7F41"/>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10D93"/>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B04B7"/>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B65EEC"/>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31</Pages>
  <Words>5177</Words>
  <Characters>5650</Characters>
  <Lines>40</Lines>
  <Paragraphs>11</Paragraphs>
  <TotalTime>27</TotalTime>
  <ScaleCrop>false</ScaleCrop>
  <LinksUpToDate>false</LinksUpToDate>
  <CharactersWithSpaces>5739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2024-09-18T20:51:00Z</dcterms:created>
  <dc:creator>王明新TIAD</dc:creator>
  <cp:lastModifiedBy>翟月</cp:lastModifiedBy>
  <cp:lastPrinted>2023-08-04T01:00:00Z</cp:lastPrinted>
  <dcterms:modified xsi:type="dcterms:W3CDTF">2025-06-03T01:32:51Z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62DADFBAD877470FB75E20F732940957_13</vt:lpwstr>
  </property>
  <property fmtid="{D5CDD505-2E9C-101B-9397-08002B2CF9AE}" pid="4" name="KSOTemplateUUID">
    <vt:lpwstr>v1.0_mb_S7ajbG3IpAnL1wSthNCxfw==</vt:lpwstr>
  </property>
  <property fmtid="{D5CDD505-2E9C-101B-9397-08002B2CF9AE}" pid="5" name="KSOTemplateDocerSaveRecord">
    <vt:lpwstr>eyJoZGlkIjoiYTBiZTc2ODQ3NDU0MDg3ZjJlYzhhMDFkNzhhNzM4NzQiLCJ1c2VySWQiOiI1NjQ0NjA2OTQifQ==</vt:lpwstr>
  </property>
</Properties>
</file>