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4AB36">
      <w:pPr>
        <w:widowControl/>
        <w:jc w:val="left"/>
      </w:pPr>
    </w:p>
    <w:p w14:paraId="27CC90E8">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14:paraId="7CE4B205">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54AE111">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54AE111">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6C8E776E">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30889C7D">
      <w:pPr>
        <w:widowControl/>
        <w:jc w:val="left"/>
      </w:pPr>
    </w:p>
    <w:p w14:paraId="03E8460C">
      <w:pPr>
        <w:widowControl/>
        <w:jc w:val="left"/>
      </w:pPr>
    </w:p>
    <w:p w14:paraId="00D3FDA6">
      <w:pPr>
        <w:widowControl/>
        <w:jc w:val="left"/>
      </w:pPr>
    </w:p>
    <w:p w14:paraId="5FB68120">
      <w:pPr>
        <w:widowControl/>
        <w:jc w:val="left"/>
      </w:pPr>
    </w:p>
    <w:p w14:paraId="77848ED3">
      <w:pPr>
        <w:widowControl/>
        <w:jc w:val="left"/>
      </w:pPr>
    </w:p>
    <w:p w14:paraId="33683707">
      <w:pPr>
        <w:widowControl/>
        <w:jc w:val="left"/>
      </w:pPr>
    </w:p>
    <w:p w14:paraId="4013E37B">
      <w:pPr>
        <w:widowControl/>
        <w:jc w:val="left"/>
      </w:pPr>
    </w:p>
    <w:p w14:paraId="560ABAA7">
      <w:pPr>
        <w:widowControl/>
        <w:jc w:val="left"/>
      </w:pPr>
    </w:p>
    <w:p w14:paraId="74A771C1">
      <w:pPr>
        <w:widowControl/>
        <w:jc w:val="left"/>
      </w:pPr>
    </w:p>
    <w:p w14:paraId="0A312E19">
      <w:pPr>
        <w:widowControl/>
        <w:jc w:val="left"/>
      </w:pPr>
    </w:p>
    <w:p w14:paraId="1BC238F8">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秦皇岛经济技术开发区交通运输局公路管理站</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秦皇岛经济技术开发区交通运输局公路管理站</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348003</w:t>
      </w:r>
    </w:p>
    <w:p w14:paraId="3DA8C78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p>
    <w:p w14:paraId="04CD5ACE">
      <w:pPr>
        <w:spacing w:line="600" w:lineRule="auto"/>
        <w:rPr>
          <w:rFonts w:hint="eastAsia" w:ascii="楷体_GB2312" w:hAnsi="楷体_GB2312" w:eastAsia="楷体_GB2312" w:cs="楷体_GB2312"/>
          <w:color w:val="000000"/>
          <w:sz w:val="40"/>
          <w:szCs w:val="40"/>
        </w:rPr>
      </w:pPr>
    </w:p>
    <w:p w14:paraId="7591C1E6">
      <w:pPr>
        <w:spacing w:line="600" w:lineRule="auto"/>
        <w:rPr>
          <w:rFonts w:hint="eastAsia" w:ascii="楷体_GB2312" w:hAnsi="楷体_GB2312" w:eastAsia="楷体_GB2312" w:cs="楷体_GB2312"/>
          <w:color w:val="000000"/>
          <w:sz w:val="40"/>
          <w:szCs w:val="40"/>
        </w:rPr>
      </w:pPr>
    </w:p>
    <w:p w14:paraId="704A904B">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二〇二四年九月</w:t>
      </w:r>
    </w:p>
    <w:p w14:paraId="7F7BA2DF">
      <w:pPr>
        <w:spacing w:line="600" w:lineRule="auto"/>
        <w:jc w:val="center"/>
        <w:rPr>
          <w:rFonts w:hint="eastAsia" w:ascii="楷体" w:hAnsi="楷体" w:eastAsia="楷体" w:cs="楷体_GB2312"/>
          <w:color w:val="000000"/>
          <w:sz w:val="40"/>
          <w:szCs w:val="40"/>
        </w:rPr>
      </w:pPr>
    </w:p>
    <w:p w14:paraId="778E8427">
      <w:pPr>
        <w:tabs>
          <w:tab w:val="left" w:pos="2728"/>
        </w:tabs>
        <w:jc w:val="center"/>
        <w:rPr>
          <w:rFonts w:ascii="黑体" w:hAnsi="Times New Roman" w:eastAsia="黑体" w:cs="Times New Roman"/>
          <w:sz w:val="48"/>
          <w:szCs w:val="48"/>
        </w:rPr>
      </w:pPr>
    </w:p>
    <w:p w14:paraId="3170D690">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0E418AB">
      <w:pPr>
        <w:widowControl/>
        <w:spacing w:after="0" w:line="360" w:lineRule="auto"/>
        <w:ind w:firstLine="640" w:firstLineChars="200"/>
        <w:rPr>
          <w:rFonts w:ascii="Times New Roman" w:hAnsi="Times New Roman" w:eastAsia="黑体" w:cs="Times New Roman"/>
          <w:sz w:val="32"/>
          <w:szCs w:val="32"/>
        </w:rPr>
      </w:pPr>
    </w:p>
    <w:p w14:paraId="59934777">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单位</w:t>
      </w:r>
      <w:r>
        <w:rPr>
          <w:rFonts w:ascii="Times New Roman" w:hAnsi="Times New Roman" w:eastAsia="黑体" w:cs="Times New Roman"/>
          <w:sz w:val="32"/>
          <w:szCs w:val="32"/>
        </w:rPr>
        <w:t>概况</w:t>
      </w:r>
    </w:p>
    <w:p w14:paraId="022976ED">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单位职责</w:t>
      </w:r>
    </w:p>
    <w:p w14:paraId="0BC41BA5">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7D654F99">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32AB9C6E">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7C9CFC40">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2D8630B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1007B3ED">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128E3D9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75DE00C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60CFD4B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202039D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0F5799EA">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14:paraId="2EB8715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74DFD297">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499EE47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14:paraId="6FAF7B93">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14:paraId="3A24A825">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2B53631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390D466B">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14:paraId="4D53414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14:paraId="0DFC026F">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14:paraId="17F6144C">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14:paraId="56757562">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14:paraId="485AB0D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119C6DA3">
      <w:pPr>
        <w:rPr>
          <w:rFonts w:ascii="Times New Roman" w:hAnsi="Times New Roman" w:eastAsia="黑体" w:cs="Times New Roman"/>
          <w:sz w:val="32"/>
          <w:szCs w:val="32"/>
        </w:rPr>
      </w:pPr>
    </w:p>
    <w:p w14:paraId="2112A5EB">
      <w:pPr>
        <w:rPr>
          <w:rFonts w:ascii="Times New Roman" w:hAnsi="Times New Roman" w:eastAsia="黑体" w:cs="Times New Roman"/>
          <w:sz w:val="32"/>
          <w:szCs w:val="32"/>
        </w:rPr>
      </w:pPr>
    </w:p>
    <w:p w14:paraId="71EAC14A">
      <w:pPr>
        <w:rPr>
          <w:rFonts w:ascii="Times New Roman" w:hAnsi="Times New Roman" w:eastAsia="黑体" w:cs="Times New Roman"/>
          <w:sz w:val="32"/>
          <w:szCs w:val="32"/>
        </w:rPr>
      </w:pPr>
    </w:p>
    <w:p w14:paraId="4684C7B0">
      <w:pPr>
        <w:rPr>
          <w:rFonts w:ascii="Times New Roman" w:hAnsi="Times New Roman" w:eastAsia="黑体" w:cs="Times New Roman"/>
          <w:sz w:val="32"/>
          <w:szCs w:val="32"/>
        </w:rPr>
      </w:pPr>
    </w:p>
    <w:p w14:paraId="29AF7098">
      <w:pPr>
        <w:rPr>
          <w:rFonts w:ascii="Times New Roman" w:hAnsi="Times New Roman" w:eastAsia="黑体" w:cs="Times New Roman"/>
          <w:sz w:val="32"/>
          <w:szCs w:val="32"/>
        </w:rPr>
      </w:pPr>
    </w:p>
    <w:p w14:paraId="109206EB">
      <w:pPr>
        <w:jc w:val="center"/>
        <w:rPr>
          <w:rFonts w:ascii="Times New Roman" w:hAnsi="Times New Roman" w:eastAsia="黑体" w:cs="Times New Roman"/>
          <w:sz w:val="32"/>
          <w:szCs w:val="32"/>
        </w:rPr>
      </w:pPr>
    </w:p>
    <w:p w14:paraId="119BD92D">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14:paraId="722D7EC4">
      <w:pPr>
        <w:spacing w:line="360" w:lineRule="auto"/>
        <w:rPr>
          <w:rFonts w:ascii="Arial" w:hAnsi="Arial" w:eastAsia="Arial" w:cs="Arial"/>
          <w:color w:val="000000"/>
          <w:sz w:val="18"/>
          <w:szCs w:val="18"/>
          <w:shd w:val="clear" w:color="auto" w:fill="FFFFFF"/>
        </w:rPr>
      </w:pPr>
    </w:p>
    <w:p w14:paraId="56652A33">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210D041">
      <w:pPr>
        <w:pStyle w:val="10"/>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14:paraId="5A120C67">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172AD81">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776EF6D">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18CBFFF8">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65278420">
      <w:pPr>
        <w:pStyle w:val="10"/>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3804BC92">
      <w:pPr>
        <w:pStyle w:val="10"/>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28C2EF4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962402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943C4FA">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7E8762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C08722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103BC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8D2139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E45661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6A2D9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64AEC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4922B2F">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68FA5E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DD7EF7">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5CABF6">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1B90D73A">
      <w:pPr>
        <w:spacing w:after="0" w:line="360" w:lineRule="auto"/>
        <w:ind w:firstLine="640" w:firstLineChars="200"/>
      </w:pPr>
      <w:r>
        <w:rPr>
          <w:rFonts w:hint="eastAsia" w:ascii="黑体" w:hAnsi="黑体" w:eastAsia="黑体"/>
          <w:sz w:val="32"/>
          <w:szCs w:val="32"/>
          <w:shd w:val="clear" w:color="auto" w:fill="FFFFFF"/>
        </w:rPr>
        <w:t>一、</w:t>
      </w:r>
      <w:r>
        <w:rPr>
          <w:rFonts w:ascii="黑体" w:hAnsi="黑体" w:eastAsia="黑体"/>
          <w:sz w:val="32"/>
          <w:szCs w:val="32"/>
        </w:rPr>
        <w:t>单位</w:t>
      </w:r>
      <w:r>
        <w:rPr>
          <w:rFonts w:hint="eastAsia" w:ascii="黑体" w:hAnsi="黑体" w:eastAsia="黑体"/>
          <w:sz w:val="32"/>
          <w:szCs w:val="32"/>
          <w:shd w:val="clear" w:color="auto" w:fill="FFFFFF"/>
        </w:rPr>
        <w:t>职责</w:t>
      </w:r>
    </w:p>
    <w:p w14:paraId="45190215">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1</w:t>
      </w:r>
      <w:r>
        <w:rPr>
          <w:rFonts w:ascii="仿宋" w:hAnsi="仿宋" w:eastAsia="仿宋" w:cs="仿宋"/>
          <w:color w:val="000000"/>
          <w:kern w:val="0"/>
          <w:sz w:val="31"/>
          <w:szCs w:val="31"/>
          <w:lang w:val="en-US" w:eastAsia="zh-CN" w:bidi="ar"/>
        </w:rPr>
        <w:t xml:space="preserve">、编制全区公路、地方道路、地方铁路、民航发展、物流 </w:t>
      </w:r>
    </w:p>
    <w:p w14:paraId="28C1F15B">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及交通运输行业发展规划和年度计划，并监督实施； </w:t>
      </w:r>
    </w:p>
    <w:p w14:paraId="080A389C">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2</w:t>
      </w:r>
      <w:r>
        <w:rPr>
          <w:rFonts w:hint="eastAsia" w:ascii="仿宋" w:hAnsi="仿宋" w:eastAsia="仿宋" w:cs="仿宋"/>
          <w:color w:val="000000"/>
          <w:kern w:val="0"/>
          <w:sz w:val="31"/>
          <w:szCs w:val="31"/>
          <w:lang w:val="en-US" w:eastAsia="zh-CN" w:bidi="ar"/>
        </w:rPr>
        <w:t xml:space="preserve">、负责交通运输综合交通运输体系建设，综合业务管理和 </w:t>
      </w:r>
    </w:p>
    <w:p w14:paraId="073EF6D8">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综合事物管理； </w:t>
      </w:r>
    </w:p>
    <w:p w14:paraId="4A96049C">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3</w:t>
      </w:r>
      <w:r>
        <w:rPr>
          <w:rFonts w:hint="eastAsia" w:ascii="仿宋" w:hAnsi="仿宋" w:eastAsia="仿宋" w:cs="仿宋"/>
          <w:color w:val="000000"/>
          <w:kern w:val="0"/>
          <w:sz w:val="31"/>
          <w:szCs w:val="31"/>
          <w:lang w:val="en-US" w:eastAsia="zh-CN" w:bidi="ar"/>
        </w:rPr>
        <w:t xml:space="preserve">、负责区内国省干线公路及其设施的建设； </w:t>
      </w:r>
    </w:p>
    <w:p w14:paraId="14B4B489">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4</w:t>
      </w:r>
      <w:r>
        <w:rPr>
          <w:rFonts w:hint="eastAsia" w:ascii="仿宋" w:hAnsi="仿宋" w:eastAsia="仿宋" w:cs="仿宋"/>
          <w:color w:val="000000"/>
          <w:kern w:val="0"/>
          <w:sz w:val="31"/>
          <w:szCs w:val="31"/>
          <w:lang w:val="en-US" w:eastAsia="zh-CN" w:bidi="ar"/>
        </w:rPr>
        <w:t xml:space="preserve">、负责区内国省干线公路及其设施的养护管理； </w:t>
      </w:r>
    </w:p>
    <w:p w14:paraId="6A07B2B7">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5</w:t>
      </w:r>
      <w:r>
        <w:rPr>
          <w:rFonts w:hint="eastAsia" w:ascii="仿宋" w:hAnsi="仿宋" w:eastAsia="仿宋" w:cs="仿宋"/>
          <w:color w:val="000000"/>
          <w:kern w:val="0"/>
          <w:sz w:val="31"/>
          <w:szCs w:val="31"/>
          <w:lang w:val="en-US" w:eastAsia="zh-CN" w:bidi="ar"/>
        </w:rPr>
        <w:t xml:space="preserve">、负责区内地方道路建设、管理、养护，技术指导和工程 </w:t>
      </w:r>
    </w:p>
    <w:p w14:paraId="5CC68B16">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建设质量的监督； </w:t>
      </w:r>
    </w:p>
    <w:p w14:paraId="4A48C398">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6</w:t>
      </w:r>
      <w:r>
        <w:rPr>
          <w:rFonts w:hint="eastAsia" w:ascii="仿宋" w:hAnsi="仿宋" w:eastAsia="仿宋" w:cs="仿宋"/>
          <w:color w:val="000000"/>
          <w:kern w:val="0"/>
          <w:sz w:val="31"/>
          <w:szCs w:val="31"/>
          <w:lang w:val="en-US" w:eastAsia="zh-CN" w:bidi="ar"/>
        </w:rPr>
        <w:t xml:space="preserve">、负责全区道路运输、交通行业管理、指导和协调工作； </w:t>
      </w:r>
    </w:p>
    <w:p w14:paraId="37A2FC7C">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7</w:t>
      </w:r>
      <w:r>
        <w:rPr>
          <w:rFonts w:hint="eastAsia" w:ascii="仿宋" w:hAnsi="仿宋" w:eastAsia="仿宋" w:cs="仿宋"/>
          <w:color w:val="000000"/>
          <w:kern w:val="0"/>
          <w:sz w:val="31"/>
          <w:szCs w:val="31"/>
          <w:lang w:val="en-US" w:eastAsia="zh-CN" w:bidi="ar"/>
        </w:rPr>
        <w:t xml:space="preserve">、负责区内运输市场、公共交通、出租车、汽车维修市场、 </w:t>
      </w:r>
    </w:p>
    <w:p w14:paraId="6C3BFD33">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车辆技术检测、汽车驾驶学校和驾驶员培训工作的行业管理、指 </w:t>
      </w:r>
    </w:p>
    <w:p w14:paraId="26180C14">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导和协调工作； </w:t>
      </w:r>
    </w:p>
    <w:p w14:paraId="7B34529A">
      <w:pPr>
        <w:keepNext w:val="0"/>
        <w:keepLines w:val="0"/>
        <w:widowControl/>
        <w:suppressLineNumbers w:val="0"/>
        <w:jc w:val="left"/>
      </w:pPr>
      <w:r>
        <w:rPr>
          <w:rFonts w:hint="default" w:ascii="Times New Roman" w:hAnsi="Times New Roman" w:eastAsia="宋体" w:cs="Times New Roman"/>
          <w:color w:val="000000"/>
          <w:kern w:val="0"/>
          <w:sz w:val="31"/>
          <w:szCs w:val="31"/>
          <w:lang w:val="en-US" w:eastAsia="zh-CN" w:bidi="ar"/>
        </w:rPr>
        <w:t>8</w:t>
      </w:r>
      <w:r>
        <w:rPr>
          <w:rFonts w:hint="eastAsia" w:ascii="仿宋" w:hAnsi="仿宋" w:eastAsia="仿宋" w:cs="仿宋"/>
          <w:color w:val="000000"/>
          <w:kern w:val="0"/>
          <w:sz w:val="31"/>
          <w:szCs w:val="31"/>
          <w:lang w:val="en-US" w:eastAsia="zh-CN" w:bidi="ar"/>
        </w:rPr>
        <w:t xml:space="preserve">、参与区内港口建设规划与管理； </w:t>
      </w:r>
    </w:p>
    <w:p w14:paraId="0B71A02A">
      <w:pPr>
        <w:keepNext w:val="0"/>
        <w:keepLines w:val="0"/>
        <w:widowControl/>
        <w:suppressLineNumbers w:val="0"/>
        <w:jc w:val="left"/>
        <w:rPr>
          <w:rFonts w:hint="default"/>
          <w:lang w:val="en-US"/>
        </w:rPr>
      </w:pPr>
      <w:r>
        <w:rPr>
          <w:rFonts w:hint="default" w:ascii="Times New Roman" w:hAnsi="Times New Roman" w:eastAsia="宋体" w:cs="Times New Roman"/>
          <w:color w:val="000000"/>
          <w:kern w:val="0"/>
          <w:sz w:val="31"/>
          <w:szCs w:val="31"/>
          <w:lang w:val="en-US" w:eastAsia="zh-CN" w:bidi="ar"/>
        </w:rPr>
        <w:t>9</w:t>
      </w:r>
      <w:r>
        <w:rPr>
          <w:rFonts w:hint="eastAsia" w:ascii="仿宋" w:hAnsi="仿宋" w:eastAsia="仿宋" w:cs="仿宋"/>
          <w:color w:val="000000"/>
          <w:kern w:val="0"/>
          <w:sz w:val="31"/>
          <w:szCs w:val="31"/>
          <w:lang w:val="en-US" w:eastAsia="zh-CN" w:bidi="ar"/>
        </w:rPr>
        <w:t>、完成开发区工委、管委以及市交通运输局赋予的其他工作。</w:t>
      </w:r>
    </w:p>
    <w:p w14:paraId="0263D03A">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14:paraId="741A652F">
      <w:pPr>
        <w:pStyle w:val="10"/>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highlight w:val="none"/>
          <w:shd w:val="clear" w:color="auto" w:fill="FFFFFF"/>
        </w:rPr>
        <w:t xml:space="preserve">”）共 </w:t>
      </w:r>
      <w:r>
        <w:rPr>
          <w:rFonts w:hint="eastAsia" w:ascii="仿宋" w:hAnsi="仿宋" w:eastAsia="仿宋" w:cs="仿宋_GB2312"/>
          <w:sz w:val="32"/>
          <w:szCs w:val="32"/>
          <w:highlight w:val="none"/>
          <w:shd w:val="clear" w:color="auto" w:fill="FFFFFF"/>
          <w:lang w:val="en-US" w:eastAsia="zh-CN"/>
        </w:rPr>
        <w:t>1</w:t>
      </w:r>
      <w:r>
        <w:rPr>
          <w:rFonts w:ascii="仿宋" w:hAnsi="仿宋" w:eastAsia="仿宋" w:cs="仿宋_GB2312"/>
          <w:sz w:val="32"/>
          <w:szCs w:val="32"/>
          <w:highlight w:val="none"/>
          <w:shd w:val="clear" w:color="auto" w:fill="FFFFFF"/>
        </w:rPr>
        <w:t>个，</w:t>
      </w:r>
      <w:r>
        <w:rPr>
          <w:rFonts w:ascii="仿宋" w:hAnsi="仿宋" w:eastAsia="仿宋"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096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CB3B2CE">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74DF64C5">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3929D4E6">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14D954CC">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14:paraId="4E8D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985" w:type="dxa"/>
            <w:vAlign w:val="center"/>
          </w:tcPr>
          <w:p w14:paraId="65ABDB0C">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1</w:t>
            </w:r>
          </w:p>
        </w:tc>
        <w:tc>
          <w:tcPr>
            <w:tcW w:w="3485" w:type="dxa"/>
            <w:vAlign w:val="center"/>
          </w:tcPr>
          <w:p w14:paraId="01B026B0">
            <w:pPr>
              <w:keepNext w:val="0"/>
              <w:keepLines w:val="0"/>
              <w:widowControl/>
              <w:suppressLineNumbers w:val="0"/>
              <w:jc w:val="left"/>
            </w:pPr>
            <w:r>
              <w:rPr>
                <w:rFonts w:ascii="仿宋" w:hAnsi="仿宋" w:eastAsia="仿宋" w:cs="仿宋"/>
                <w:color w:val="000000"/>
                <w:kern w:val="0"/>
                <w:sz w:val="28"/>
                <w:szCs w:val="28"/>
                <w:lang w:val="en-US" w:eastAsia="zh-CN" w:bidi="ar"/>
              </w:rPr>
              <w:t xml:space="preserve">秦皇岛经济技术开发区交 </w:t>
            </w:r>
          </w:p>
          <w:p w14:paraId="0CFF4D07">
            <w:pPr>
              <w:keepNext w:val="0"/>
              <w:keepLines w:val="0"/>
              <w:widowControl/>
              <w:suppressLineNumbers w:val="0"/>
              <w:jc w:val="left"/>
              <w:rPr>
                <w:rFonts w:hint="eastAsia" w:ascii="仿宋" w:hAnsi="仿宋" w:eastAsia="仿宋" w:cs="ArialUnicodeMS"/>
                <w:sz w:val="28"/>
                <w:szCs w:val="28"/>
              </w:rPr>
            </w:pPr>
            <w:r>
              <w:rPr>
                <w:rFonts w:hint="eastAsia" w:ascii="仿宋" w:hAnsi="仿宋" w:eastAsia="仿宋" w:cs="仿宋"/>
                <w:color w:val="000000"/>
                <w:kern w:val="0"/>
                <w:sz w:val="28"/>
                <w:szCs w:val="28"/>
                <w:lang w:val="en-US" w:eastAsia="zh-CN" w:bidi="ar"/>
              </w:rPr>
              <w:t xml:space="preserve">通运输局公路管理站 </w:t>
            </w:r>
          </w:p>
        </w:tc>
        <w:tc>
          <w:tcPr>
            <w:tcW w:w="2445" w:type="dxa"/>
            <w:vAlign w:val="center"/>
          </w:tcPr>
          <w:p w14:paraId="6DB59BDD">
            <w:pPr>
              <w:spacing w:line="560" w:lineRule="exact"/>
              <w:ind w:firstLine="560" w:firstLineChars="200"/>
              <w:jc w:val="both"/>
              <w:rPr>
                <w:rFonts w:hint="eastAsia" w:ascii="仿宋" w:hAnsi="仿宋" w:eastAsia="仿宋" w:cs="Times New Roman"/>
                <w:sz w:val="28"/>
                <w:szCs w:val="28"/>
              </w:rPr>
            </w:pPr>
            <w:r>
              <w:rPr>
                <w:rFonts w:hint="eastAsia" w:ascii="仿宋" w:hAnsi="仿宋" w:eastAsia="仿宋" w:cs="Times New Roman"/>
                <w:sz w:val="28"/>
                <w:szCs w:val="28"/>
              </w:rPr>
              <w:t>财政补助</w:t>
            </w:r>
          </w:p>
          <w:p w14:paraId="6D25DD47">
            <w:pPr>
              <w:spacing w:line="560" w:lineRule="exact"/>
              <w:jc w:val="center"/>
              <w:rPr>
                <w:rFonts w:hint="eastAsia" w:ascii="仿宋" w:hAnsi="仿宋" w:eastAsia="仿宋" w:cs="ArialUnicodeMS"/>
                <w:sz w:val="28"/>
                <w:szCs w:val="28"/>
              </w:rPr>
            </w:pPr>
            <w:r>
              <w:rPr>
                <w:rFonts w:hint="eastAsia" w:ascii="仿宋" w:hAnsi="仿宋" w:eastAsia="仿宋" w:cs="Times New Roman"/>
                <w:sz w:val="28"/>
                <w:szCs w:val="28"/>
              </w:rPr>
              <w:t>事业单位</w:t>
            </w:r>
          </w:p>
        </w:tc>
        <w:tc>
          <w:tcPr>
            <w:tcW w:w="2665" w:type="dxa"/>
            <w:vAlign w:val="center"/>
          </w:tcPr>
          <w:p w14:paraId="0D04D803">
            <w:pPr>
              <w:keepNext w:val="0"/>
              <w:keepLines w:val="0"/>
              <w:widowControl/>
              <w:suppressLineNumbers w:val="0"/>
              <w:jc w:val="left"/>
              <w:rPr>
                <w:rFonts w:ascii="仿宋" w:hAnsi="仿宋" w:eastAsia="仿宋" w:cs="仿宋"/>
                <w:color w:val="000000"/>
                <w:kern w:val="0"/>
                <w:sz w:val="28"/>
                <w:szCs w:val="28"/>
                <w:lang w:val="en-US" w:eastAsia="zh-CN" w:bidi="ar"/>
              </w:rPr>
            </w:pPr>
          </w:p>
          <w:p w14:paraId="181979BB">
            <w:pPr>
              <w:keepNext w:val="0"/>
              <w:keepLines w:val="0"/>
              <w:widowControl/>
              <w:suppressLineNumbers w:val="0"/>
              <w:jc w:val="left"/>
              <w:rPr>
                <w:rFonts w:ascii="仿宋" w:hAnsi="仿宋" w:eastAsia="仿宋" w:cs="仿宋"/>
                <w:color w:val="000000"/>
                <w:kern w:val="0"/>
                <w:sz w:val="28"/>
                <w:szCs w:val="28"/>
                <w:lang w:val="en-US" w:eastAsia="zh-CN" w:bidi="ar"/>
              </w:rPr>
            </w:pPr>
            <w:r>
              <w:rPr>
                <w:rFonts w:ascii="仿宋" w:hAnsi="仿宋" w:eastAsia="仿宋" w:cs="仿宋"/>
                <w:color w:val="000000"/>
                <w:kern w:val="0"/>
                <w:sz w:val="28"/>
                <w:szCs w:val="28"/>
                <w:lang w:val="en-US" w:eastAsia="zh-CN" w:bidi="ar"/>
              </w:rPr>
              <w:t xml:space="preserve">财政性资金 </w:t>
            </w:r>
          </w:p>
          <w:p w14:paraId="4A61A360">
            <w:pPr>
              <w:keepNext w:val="0"/>
              <w:keepLines w:val="0"/>
              <w:widowControl/>
              <w:suppressLineNumbers w:val="0"/>
              <w:jc w:val="left"/>
            </w:pPr>
            <w:r>
              <w:rPr>
                <w:rFonts w:hint="eastAsia" w:ascii="仿宋" w:hAnsi="仿宋" w:eastAsia="仿宋" w:cs="仿宋"/>
                <w:color w:val="000000"/>
                <w:kern w:val="0"/>
                <w:sz w:val="28"/>
                <w:szCs w:val="28"/>
                <w:lang w:val="en-US" w:eastAsia="zh-CN" w:bidi="ar"/>
              </w:rPr>
              <w:t>基本保证</w:t>
            </w:r>
          </w:p>
          <w:p w14:paraId="20008226">
            <w:pPr>
              <w:spacing w:line="560" w:lineRule="exact"/>
              <w:jc w:val="center"/>
              <w:rPr>
                <w:rFonts w:hint="eastAsia" w:ascii="仿宋" w:hAnsi="仿宋" w:eastAsia="仿宋" w:cs="ArialUnicodeMS"/>
                <w:sz w:val="28"/>
                <w:szCs w:val="28"/>
              </w:rPr>
            </w:pPr>
          </w:p>
        </w:tc>
      </w:tr>
    </w:tbl>
    <w:p w14:paraId="6C10097B">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w:t>
      </w:r>
      <w:r>
        <w:rPr>
          <w:rFonts w:ascii="仿宋" w:hAnsi="仿宋" w:eastAsia="仿宋" w:cs="Times New Roman"/>
          <w:sz w:val="28"/>
          <w:szCs w:val="28"/>
        </w:rPr>
        <w:cr/>
      </w:r>
    </w:p>
    <w:p w14:paraId="1B9630AE">
      <w:pPr>
        <w:widowControl/>
        <w:spacing w:line="580" w:lineRule="exact"/>
        <w:ind w:firstLine="640" w:firstLineChars="200"/>
        <w:rPr>
          <w:rFonts w:ascii="Times New Roman" w:hAnsi="Times New Roman" w:eastAsia="黑体" w:cs="Times New Roman"/>
          <w:sz w:val="32"/>
          <w:szCs w:val="32"/>
          <w:highlight w:val="yellow"/>
        </w:rPr>
      </w:pPr>
    </w:p>
    <w:p w14:paraId="6BD64B71">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17190BCA">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36E600DA">
      <w:pPr>
        <w:widowControl/>
        <w:shd w:val="clear" w:color="auto" w:fill="FFFFFF"/>
        <w:spacing w:after="0"/>
        <w:jc w:val="left"/>
        <w:rPr>
          <w:rFonts w:ascii="Arial" w:hAnsi="Arial" w:eastAsia="Arial" w:cs="Arial"/>
          <w:color w:val="000000"/>
          <w:sz w:val="18"/>
          <w:szCs w:val="18"/>
          <w:shd w:val="clear" w:color="auto" w:fill="FFFFFF"/>
        </w:rPr>
      </w:pPr>
    </w:p>
    <w:p w14:paraId="30BB7513">
      <w:pPr>
        <w:widowControl/>
        <w:shd w:val="clear" w:color="auto" w:fill="FFFFFF"/>
        <w:spacing w:after="0"/>
        <w:jc w:val="left"/>
        <w:rPr>
          <w:rFonts w:ascii="Arial" w:hAnsi="Arial" w:eastAsia="Arial" w:cs="Arial"/>
          <w:color w:val="000000"/>
          <w:sz w:val="18"/>
          <w:szCs w:val="18"/>
          <w:shd w:val="clear" w:color="auto" w:fill="FFFFFF"/>
        </w:rPr>
      </w:pPr>
    </w:p>
    <w:p w14:paraId="2287377D">
      <w:pPr>
        <w:widowControl/>
        <w:shd w:val="clear" w:color="auto" w:fill="FFFFFF"/>
        <w:spacing w:after="0"/>
        <w:jc w:val="left"/>
        <w:rPr>
          <w:rFonts w:ascii="Arial" w:hAnsi="Arial" w:eastAsia="Arial" w:cs="Arial"/>
          <w:color w:val="000000"/>
          <w:sz w:val="18"/>
          <w:szCs w:val="18"/>
          <w:shd w:val="clear" w:color="auto" w:fill="FFFFFF"/>
        </w:rPr>
      </w:pPr>
    </w:p>
    <w:p w14:paraId="38688B3B">
      <w:pPr>
        <w:widowControl/>
        <w:shd w:val="clear" w:color="auto" w:fill="FFFFFF"/>
        <w:spacing w:after="0"/>
        <w:jc w:val="left"/>
        <w:rPr>
          <w:rFonts w:ascii="Arial" w:hAnsi="Arial" w:eastAsia="Arial" w:cs="Arial"/>
          <w:color w:val="000000"/>
          <w:sz w:val="18"/>
          <w:szCs w:val="18"/>
          <w:shd w:val="clear" w:color="auto" w:fill="FFFFFF"/>
        </w:rPr>
      </w:pPr>
    </w:p>
    <w:p w14:paraId="1DB22197">
      <w:pPr>
        <w:widowControl/>
        <w:shd w:val="clear" w:color="auto" w:fill="FFFFFF"/>
        <w:spacing w:after="0"/>
        <w:jc w:val="left"/>
        <w:rPr>
          <w:rFonts w:ascii="Arial" w:hAnsi="Arial" w:eastAsia="Arial" w:cs="Arial"/>
          <w:color w:val="000000"/>
          <w:sz w:val="18"/>
          <w:szCs w:val="18"/>
          <w:shd w:val="clear" w:color="auto" w:fill="FFFFFF"/>
        </w:rPr>
      </w:pPr>
    </w:p>
    <w:p w14:paraId="55BF5873">
      <w:pPr>
        <w:widowControl/>
        <w:shd w:val="clear" w:color="auto" w:fill="FFFFFF"/>
        <w:spacing w:after="0"/>
        <w:jc w:val="left"/>
        <w:rPr>
          <w:rFonts w:ascii="Arial" w:hAnsi="Arial" w:eastAsia="Arial" w:cs="Arial"/>
          <w:color w:val="000000"/>
          <w:sz w:val="18"/>
          <w:szCs w:val="18"/>
          <w:shd w:val="clear" w:color="auto" w:fill="FFFFFF"/>
        </w:rPr>
      </w:pPr>
    </w:p>
    <w:p w14:paraId="28B10F44">
      <w:pPr>
        <w:widowControl/>
        <w:shd w:val="clear" w:color="auto" w:fill="FFFFFF"/>
        <w:spacing w:after="0"/>
        <w:jc w:val="left"/>
        <w:rPr>
          <w:rFonts w:ascii="Arial" w:hAnsi="Arial" w:eastAsia="Arial" w:cs="Arial"/>
          <w:color w:val="000000"/>
          <w:sz w:val="18"/>
          <w:szCs w:val="18"/>
          <w:shd w:val="clear" w:color="auto" w:fill="FFFFFF"/>
        </w:rPr>
      </w:pPr>
    </w:p>
    <w:p w14:paraId="2BA3753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8D4FD8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E0ED4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ED80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F0C4014">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14:paraId="6402E9AC">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14:paraId="55812041">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14:paraId="34343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0" w:hRule="atLeast"/>
        </w:trPr>
        <w:tc>
          <w:tcPr>
            <w:tcW w:w="13992" w:type="dxa"/>
            <w:tcBorders>
              <w:top w:val="nil"/>
              <w:left w:val="nil"/>
              <w:bottom w:val="nil"/>
              <w:right w:val="nil"/>
            </w:tcBorders>
          </w:tcPr>
          <w:p w14:paraId="7679A823">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1155065</wp:posOffset>
                  </wp:positionH>
                  <wp:positionV relativeFrom="paragraph">
                    <wp:posOffset>90170</wp:posOffset>
                  </wp:positionV>
                  <wp:extent cx="6432550" cy="4965700"/>
                  <wp:effectExtent l="0" t="0" r="6350" b="6350"/>
                  <wp:wrapNone/>
                  <wp:docPr id="20756903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90326"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2550" cy="4965700"/>
                          </a:xfrm>
                          <a:prstGeom prst="rect">
                            <a:avLst/>
                          </a:prstGeom>
                          <a:noFill/>
                          <a:ln>
                            <a:noFill/>
                          </a:ln>
                        </pic:spPr>
                      </pic:pic>
                    </a:graphicData>
                  </a:graphic>
                </wp:anchor>
              </w:drawing>
            </w:r>
          </w:p>
        </w:tc>
      </w:tr>
      <w:tr w14:paraId="15542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7" w:hRule="atLeast"/>
        </w:trPr>
        <w:tc>
          <w:tcPr>
            <w:tcW w:w="13992" w:type="dxa"/>
            <w:tcBorders>
              <w:top w:val="nil"/>
              <w:left w:val="nil"/>
              <w:bottom w:val="nil"/>
              <w:right w:val="nil"/>
            </w:tcBorders>
          </w:tcPr>
          <w:p w14:paraId="521BF35D">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-635</wp:posOffset>
                  </wp:positionH>
                  <wp:positionV relativeFrom="paragraph">
                    <wp:posOffset>33020</wp:posOffset>
                  </wp:positionV>
                  <wp:extent cx="8743950" cy="3702050"/>
                  <wp:effectExtent l="0" t="0" r="0" b="0"/>
                  <wp:wrapNone/>
                  <wp:docPr id="3480295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29598"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743950" cy="3702050"/>
                          </a:xfrm>
                          <a:prstGeom prst="rect">
                            <a:avLst/>
                          </a:prstGeom>
                          <a:noFill/>
                          <a:ln>
                            <a:noFill/>
                          </a:ln>
                        </pic:spPr>
                      </pic:pic>
                    </a:graphicData>
                  </a:graphic>
                </wp:anchor>
              </w:drawing>
            </w:r>
          </w:p>
        </w:tc>
      </w:tr>
      <w:tr w14:paraId="0FE3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92" w:hRule="atLeast"/>
        </w:trPr>
        <w:tc>
          <w:tcPr>
            <w:tcW w:w="13992" w:type="dxa"/>
            <w:tcBorders>
              <w:top w:val="nil"/>
              <w:left w:val="nil"/>
              <w:bottom w:val="nil"/>
              <w:right w:val="nil"/>
            </w:tcBorders>
          </w:tcPr>
          <w:p w14:paraId="76D283BD">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-635</wp:posOffset>
                  </wp:positionH>
                  <wp:positionV relativeFrom="paragraph">
                    <wp:posOffset>13970</wp:posOffset>
                  </wp:positionV>
                  <wp:extent cx="8737600" cy="4127500"/>
                  <wp:effectExtent l="0" t="0" r="6350" b="6350"/>
                  <wp:wrapNone/>
                  <wp:docPr id="9949142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14278"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737600" cy="4127500"/>
                          </a:xfrm>
                          <a:prstGeom prst="rect">
                            <a:avLst/>
                          </a:prstGeom>
                          <a:noFill/>
                          <a:ln>
                            <a:noFill/>
                          </a:ln>
                        </pic:spPr>
                      </pic:pic>
                    </a:graphicData>
                  </a:graphic>
                </wp:anchor>
              </w:drawing>
            </w:r>
          </w:p>
          <w:p w14:paraId="0514F40E">
            <w:pPr>
              <w:widowControl/>
              <w:tabs>
                <w:tab w:val="left" w:pos="5484"/>
              </w:tabs>
              <w:jc w:val="left"/>
              <w:rPr>
                <w:sz w:val="20"/>
                <w:szCs w:val="20"/>
              </w:rPr>
            </w:pPr>
          </w:p>
        </w:tc>
      </w:tr>
      <w:tr w14:paraId="7BA1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tbl>
            <w:tblPr>
              <w:tblStyle w:val="12"/>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14:paraId="1242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4" w:hRule="atLeast"/>
              </w:trPr>
              <w:tc>
                <w:tcPr>
                  <w:tcW w:w="14481" w:type="dxa"/>
                  <w:tcBorders>
                    <w:top w:val="nil"/>
                    <w:left w:val="nil"/>
                    <w:bottom w:val="nil"/>
                    <w:right w:val="nil"/>
                  </w:tcBorders>
                </w:tcPr>
                <w:p w14:paraId="26367565">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781685</wp:posOffset>
                        </wp:positionH>
                        <wp:positionV relativeFrom="paragraph">
                          <wp:posOffset>89535</wp:posOffset>
                        </wp:positionV>
                        <wp:extent cx="7048500" cy="4965700"/>
                        <wp:effectExtent l="0" t="0" r="0" b="6350"/>
                        <wp:wrapNone/>
                        <wp:docPr id="9553254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2547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8500" cy="4965700"/>
                                </a:xfrm>
                                <a:prstGeom prst="rect">
                                  <a:avLst/>
                                </a:prstGeom>
                                <a:noFill/>
                                <a:ln>
                                  <a:noFill/>
                                </a:ln>
                              </pic:spPr>
                            </pic:pic>
                          </a:graphicData>
                        </a:graphic>
                      </wp:anchor>
                    </w:drawing>
                  </w:r>
                </w:p>
              </w:tc>
            </w:tr>
          </w:tbl>
          <w:p w14:paraId="1B5DE183">
            <w:pPr>
              <w:widowControl/>
              <w:jc w:val="center"/>
              <w:rPr>
                <w:sz w:val="20"/>
                <w:szCs w:val="20"/>
              </w:rPr>
            </w:pPr>
          </w:p>
        </w:tc>
      </w:tr>
      <w:tr w14:paraId="317E2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5" w:hRule="atLeast"/>
        </w:trPr>
        <w:tc>
          <w:tcPr>
            <w:tcW w:w="13992" w:type="dxa"/>
            <w:tcBorders>
              <w:top w:val="nil"/>
              <w:left w:val="nil"/>
              <w:bottom w:val="nil"/>
              <w:right w:val="nil"/>
            </w:tcBorders>
          </w:tcPr>
          <w:p w14:paraId="21C98EFB">
            <w:pPr>
              <w:widowControl/>
              <w:jc w:val="center"/>
              <w:rPr>
                <w:sz w:val="20"/>
                <w:szCs w:val="20"/>
              </w:rPr>
            </w:pPr>
          </w:p>
        </w:tc>
      </w:tr>
    </w:tbl>
    <w:p w14:paraId="0E4AB451">
      <w:pPr>
        <w:widowControl/>
        <w:jc w:val="center"/>
        <w:rPr>
          <w:sz w:val="20"/>
          <w:szCs w:val="20"/>
        </w:rPr>
        <w:sectPr>
          <w:pgSz w:w="16838" w:h="11906" w:orient="landscape"/>
          <w:pgMar w:top="2098" w:right="1531" w:bottom="1984" w:left="1531" w:header="851" w:footer="992" w:gutter="0"/>
          <w:cols w:space="720" w:num="1"/>
          <w:docGrid w:type="lines" w:linePitch="326" w:charSpace="0"/>
        </w:sectPr>
      </w:pPr>
      <w:bookmarkStart w:id="2" w:name="_GoBack"/>
      <w:bookmarkEnd w:id="2"/>
      <w:r>
        <w:rPr>
          <w:sz w:val="20"/>
          <w:szCs w:val="20"/>
        </w:rPr>
        <w:drawing>
          <wp:anchor distT="0" distB="0" distL="114300" distR="114300" simplePos="0" relativeHeight="251670528" behindDoc="0" locked="0" layoutInCell="1" allowOverlap="1">
            <wp:simplePos x="0" y="0"/>
            <wp:positionH relativeFrom="column">
              <wp:posOffset>475615</wp:posOffset>
            </wp:positionH>
            <wp:positionV relativeFrom="paragraph">
              <wp:posOffset>13970</wp:posOffset>
            </wp:positionV>
            <wp:extent cx="7785100" cy="4933950"/>
            <wp:effectExtent l="0" t="0" r="6350" b="0"/>
            <wp:wrapNone/>
            <wp:docPr id="19005959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95907"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785100" cy="4933950"/>
                    </a:xfrm>
                    <a:prstGeom prst="rect">
                      <a:avLst/>
                    </a:prstGeom>
                    <a:noFill/>
                    <a:ln>
                      <a:noFill/>
                    </a:ln>
                  </pic:spPr>
                </pic:pic>
              </a:graphicData>
            </a:graphic>
          </wp:anchor>
        </w:drawing>
      </w:r>
    </w:p>
    <w:p w14:paraId="4610A50D">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t xml:space="preserve"> </w:t>
      </w:r>
      <w:r>
        <w:rPr>
          <w:rFonts w:hint="eastAsia"/>
          <w:sz w:val="20"/>
          <w:szCs w:val="20"/>
        </w:rPr>
        <w:drawing>
          <wp:anchor distT="0" distB="0" distL="114300" distR="114300" simplePos="0" relativeHeight="251671552" behindDoc="0" locked="0" layoutInCell="1" allowOverlap="1">
            <wp:simplePos x="0" y="0"/>
            <wp:positionH relativeFrom="column">
              <wp:posOffset>405765</wp:posOffset>
            </wp:positionH>
            <wp:positionV relativeFrom="paragraph">
              <wp:posOffset>102870</wp:posOffset>
            </wp:positionV>
            <wp:extent cx="8005445" cy="4968240"/>
            <wp:effectExtent l="0" t="0" r="0" b="3810"/>
            <wp:wrapNone/>
            <wp:docPr id="16567621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62180"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5445" cy="4968240"/>
                    </a:xfrm>
                    <a:prstGeom prst="rect">
                      <a:avLst/>
                    </a:prstGeom>
                    <a:noFill/>
                    <a:ln>
                      <a:noFill/>
                    </a:ln>
                  </pic:spPr>
                </pic:pic>
              </a:graphicData>
            </a:graphic>
          </wp:anchor>
        </w:drawing>
      </w:r>
      <w:r>
        <w:rPr>
          <w:sz w:val="20"/>
          <w:szCs w:val="20"/>
        </w:rPr>
        <w:br w:type="page"/>
      </w:r>
    </w:p>
    <w:p w14:paraId="12C8D1A9">
      <w:pPr>
        <w:widowControl/>
        <w:jc w:val="center"/>
        <w:rPr>
          <w:sz w:val="20"/>
          <w:szCs w:val="20"/>
        </w:rPr>
      </w:pPr>
    </w:p>
    <w:p w14:paraId="3D1FF7B1">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-635</wp:posOffset>
            </wp:positionH>
            <wp:positionV relativeFrom="paragraph">
              <wp:posOffset>45085</wp:posOffset>
            </wp:positionV>
            <wp:extent cx="8747760" cy="2689860"/>
            <wp:effectExtent l="0" t="0" r="0" b="0"/>
            <wp:wrapNone/>
            <wp:docPr id="20973394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3945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2689860"/>
                    </a:xfrm>
                    <a:prstGeom prst="rect">
                      <a:avLst/>
                    </a:prstGeom>
                    <a:noFill/>
                    <a:ln>
                      <a:noFill/>
                    </a:ln>
                  </pic:spPr>
                </pic:pic>
              </a:graphicData>
            </a:graphic>
          </wp:anchor>
        </w:drawing>
      </w:r>
      <w:r>
        <w:rPr>
          <w:sz w:val="20"/>
          <w:szCs w:val="20"/>
        </w:rPr>
        <w:br w:type="page"/>
      </w:r>
    </w:p>
    <w:p w14:paraId="0E6E1D17">
      <w:pPr>
        <w:pStyle w:val="2"/>
        <w:bidi w:val="0"/>
      </w:pPr>
      <w:r>
        <w:rPr>
          <w:rFonts w:hint="eastAsia"/>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1270</wp:posOffset>
            </wp:positionV>
            <wp:extent cx="6642100" cy="3162300"/>
            <wp:effectExtent l="0" t="0" r="6350" b="0"/>
            <wp:wrapNone/>
            <wp:docPr id="10763408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40834"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2100" cy="3162300"/>
                    </a:xfrm>
                    <a:prstGeom prst="rect">
                      <a:avLst/>
                    </a:prstGeom>
                    <a:noFill/>
                    <a:ln>
                      <a:noFill/>
                    </a:ln>
                  </pic:spPr>
                </pic:pic>
              </a:graphicData>
            </a:graphic>
          </wp:anchor>
        </w:drawing>
      </w:r>
      <w:r>
        <w:br w:type="page"/>
      </w:r>
    </w:p>
    <w:p w14:paraId="103DE5B8">
      <w:pPr>
        <w:pStyle w:val="10"/>
        <w:bidi w:val="0"/>
        <w:sectPr>
          <w:pgSz w:w="16838" w:h="11906" w:orient="landscape"/>
          <w:pgMar w:top="2098" w:right="1531" w:bottom="1984" w:left="1531" w:header="851" w:footer="992" w:gutter="0"/>
          <w:cols w:space="720" w:num="1"/>
          <w:docGrid w:type="lines" w:linePitch="312" w:charSpace="0"/>
        </w:sectPr>
      </w:pPr>
      <w:r>
        <w:rPr>
          <w:rFonts w:hint="eastAsia"/>
        </w:rPr>
        <w:drawing>
          <wp:anchor distT="0" distB="0" distL="114300" distR="114300" simplePos="0" relativeHeight="251674624" behindDoc="0" locked="0" layoutInCell="1" allowOverlap="1">
            <wp:simplePos x="0" y="0"/>
            <wp:positionH relativeFrom="column">
              <wp:posOffset>-635</wp:posOffset>
            </wp:positionH>
            <wp:positionV relativeFrom="paragraph">
              <wp:posOffset>13970</wp:posOffset>
            </wp:positionV>
            <wp:extent cx="8747760" cy="1747520"/>
            <wp:effectExtent l="0" t="0" r="0" b="5080"/>
            <wp:wrapNone/>
            <wp:docPr id="7920519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1946"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47520"/>
                    </a:xfrm>
                    <a:prstGeom prst="rect">
                      <a:avLst/>
                    </a:prstGeom>
                    <a:noFill/>
                    <a:ln>
                      <a:noFill/>
                    </a:ln>
                  </pic:spPr>
                </pic:pic>
              </a:graphicData>
            </a:graphic>
          </wp:anchor>
        </w:drawing>
      </w:r>
    </w:p>
    <w:p w14:paraId="48DD1F0D">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65FD052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6BB4AF6">
      <w:pPr>
        <w:pStyle w:val="10"/>
        <w:widowControl/>
        <w:spacing w:beforeAutospacing="0" w:afterAutospacing="0"/>
        <w:jc w:val="center"/>
        <w:rPr>
          <w:rFonts w:ascii="Arial" w:hAnsi="Arial" w:eastAsia="Arial" w:cs="Arial"/>
          <w:color w:val="000000"/>
          <w:sz w:val="18"/>
          <w:szCs w:val="18"/>
          <w:shd w:val="clear" w:color="auto" w:fill="FFFFFF"/>
        </w:rPr>
      </w:pPr>
    </w:p>
    <w:p w14:paraId="4A379622">
      <w:pPr>
        <w:pStyle w:val="10"/>
        <w:widowControl/>
        <w:spacing w:beforeAutospacing="0" w:afterAutospacing="0"/>
        <w:jc w:val="center"/>
        <w:rPr>
          <w:rFonts w:ascii="Arial" w:hAnsi="Arial" w:eastAsia="Arial" w:cs="Arial"/>
          <w:color w:val="000000"/>
          <w:sz w:val="18"/>
          <w:szCs w:val="18"/>
          <w:shd w:val="clear" w:color="auto" w:fill="FFFFFF"/>
        </w:rPr>
      </w:pPr>
    </w:p>
    <w:p w14:paraId="51877D3A">
      <w:pPr>
        <w:pStyle w:val="10"/>
        <w:widowControl/>
        <w:spacing w:beforeAutospacing="0" w:afterAutospacing="0"/>
        <w:jc w:val="center"/>
        <w:rPr>
          <w:rFonts w:ascii="Arial" w:hAnsi="Arial" w:eastAsia="Arial" w:cs="Arial"/>
          <w:color w:val="000000"/>
          <w:sz w:val="18"/>
          <w:szCs w:val="18"/>
          <w:shd w:val="clear" w:color="auto" w:fill="FFFFFF"/>
        </w:rPr>
      </w:pPr>
    </w:p>
    <w:p w14:paraId="746AC952">
      <w:pPr>
        <w:pStyle w:val="10"/>
        <w:widowControl/>
        <w:spacing w:beforeAutospacing="0" w:afterAutospacing="0"/>
        <w:jc w:val="center"/>
        <w:rPr>
          <w:rFonts w:ascii="Arial" w:hAnsi="Arial" w:eastAsia="Arial" w:cs="Arial"/>
          <w:color w:val="000000"/>
          <w:sz w:val="18"/>
          <w:szCs w:val="18"/>
          <w:shd w:val="clear" w:color="auto" w:fill="FFFFFF"/>
        </w:rPr>
      </w:pPr>
    </w:p>
    <w:p w14:paraId="3FBA37D7">
      <w:pPr>
        <w:pStyle w:val="10"/>
        <w:widowControl/>
        <w:spacing w:beforeAutospacing="0" w:afterAutospacing="0"/>
        <w:jc w:val="center"/>
        <w:rPr>
          <w:rFonts w:ascii="Arial" w:hAnsi="Arial" w:eastAsia="Arial" w:cs="Arial"/>
          <w:color w:val="000000"/>
          <w:sz w:val="18"/>
          <w:szCs w:val="18"/>
          <w:shd w:val="clear" w:color="auto" w:fill="FFFFFF"/>
        </w:rPr>
      </w:pPr>
    </w:p>
    <w:p w14:paraId="65FD000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5F807D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13BB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26BA97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08AC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7E9B52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BD6D15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4D3B366">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14:paraId="4CA144DB">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14:paraId="4895F512">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14:paraId="3BE7830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B9AE5C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06D161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3F68A8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42CA8F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05B02B8">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0E841168">
      <w:pPr>
        <w:rPr>
          <w:rFonts w:ascii="Arial" w:hAnsi="Arial" w:eastAsia="Arial" w:cs="Arial"/>
        </w:rPr>
      </w:pPr>
      <w:r>
        <w:rPr>
          <w:rFonts w:ascii="Arial" w:hAnsi="Arial" w:eastAsia="Arial" w:cs="Arial"/>
          <w:color w:val="000000"/>
          <w:sz w:val="18"/>
          <w:szCs w:val="18"/>
          <w:shd w:val="clear" w:color="auto" w:fill="FFFFFF"/>
        </w:rPr>
        <w:br w:type="page"/>
      </w:r>
    </w:p>
    <w:p w14:paraId="7B9C7DF9">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14:paraId="37953C8C">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本单位2023年度收、支总计（含结转和结余）523.99万元。与2022年度决算相比，收支各增加8.75万元，增长1.7%，</w:t>
      </w:r>
      <w:r>
        <w:rPr>
          <w:rFonts w:ascii="仿宋" w:hAnsi="仿宋" w:eastAsia="仿宋" w:cs="Times New Roman"/>
          <w:kern w:val="2"/>
          <w:sz w:val="32"/>
          <w:szCs w:val="32"/>
          <w:highlight w:val="none"/>
        </w:rPr>
        <w:t>主要原因是</w:t>
      </w:r>
      <w:r>
        <w:rPr>
          <w:rFonts w:hint="eastAsia" w:ascii="仿宋" w:hAnsi="仿宋" w:eastAsia="仿宋" w:cs="Times New Roman"/>
          <w:kern w:val="2"/>
          <w:sz w:val="32"/>
          <w:szCs w:val="32"/>
          <w:highlight w:val="none"/>
          <w:lang w:val="en-US" w:eastAsia="zh-CN"/>
        </w:rPr>
        <w:t>上级补助资金</w:t>
      </w:r>
      <w:r>
        <w:rPr>
          <w:rFonts w:ascii="仿宋" w:hAnsi="仿宋" w:eastAsia="仿宋" w:cs="Times New Roman"/>
          <w:kern w:val="2"/>
          <w:sz w:val="32"/>
          <w:szCs w:val="32"/>
          <w:highlight w:val="none"/>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165A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0B0693A0">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302260</wp:posOffset>
                  </wp:positionH>
                  <wp:positionV relativeFrom="paragraph">
                    <wp:posOffset>69850</wp:posOffset>
                  </wp:positionV>
                  <wp:extent cx="4229100" cy="2851150"/>
                  <wp:effectExtent l="0" t="0" r="0" b="6350"/>
                  <wp:wrapNone/>
                  <wp:docPr id="11719816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81655"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9100" cy="2851150"/>
                          </a:xfrm>
                          <a:prstGeom prst="rect">
                            <a:avLst/>
                          </a:prstGeom>
                          <a:noFill/>
                          <a:ln>
                            <a:noFill/>
                          </a:ln>
                        </pic:spPr>
                      </pic:pic>
                    </a:graphicData>
                  </a:graphic>
                </wp:anchor>
              </w:drawing>
            </w:r>
          </w:p>
        </w:tc>
      </w:tr>
    </w:tbl>
    <w:p w14:paraId="30E2797B">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14:paraId="26DCCB4E">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本单位2023年度本年收入合计516.72万元，其中：财政拨款收入361.75万元，占70.0%；上级补助收入0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154.97</w:t>
      </w:r>
      <w:r>
        <w:rPr>
          <w:rFonts w:ascii="仿宋" w:hAnsi="仿宋" w:eastAsia="仿宋" w:cs="Times New Roman"/>
          <w:kern w:val="2"/>
          <w:sz w:val="32"/>
          <w:szCs w:val="32"/>
          <w:lang w:val="zh-CN"/>
        </w:rPr>
        <w:t>万元，占30.0%</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298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6D460774">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276860</wp:posOffset>
                  </wp:positionH>
                  <wp:positionV relativeFrom="paragraph">
                    <wp:posOffset>-292100</wp:posOffset>
                  </wp:positionV>
                  <wp:extent cx="4273550" cy="3213100"/>
                  <wp:effectExtent l="0" t="0" r="0" b="6350"/>
                  <wp:wrapNone/>
                  <wp:docPr id="15774559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55971"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3550" cy="3213100"/>
                          </a:xfrm>
                          <a:prstGeom prst="rect">
                            <a:avLst/>
                          </a:prstGeom>
                          <a:noFill/>
                          <a:ln>
                            <a:noFill/>
                          </a:ln>
                        </pic:spPr>
                      </pic:pic>
                    </a:graphicData>
                  </a:graphic>
                </wp:anchor>
              </w:drawing>
            </w:r>
          </w:p>
        </w:tc>
      </w:tr>
    </w:tbl>
    <w:p w14:paraId="12A2E936">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14:paraId="0FD40A9F">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本单位2023年度本年支出合计447.94万元，其中：基本支出195.40万元，占43.6%；项目支出252.54万元，占56.4%；上缴上级支出0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193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48DBC14D">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289560</wp:posOffset>
                  </wp:positionH>
                  <wp:positionV relativeFrom="paragraph">
                    <wp:posOffset>106045</wp:posOffset>
                  </wp:positionV>
                  <wp:extent cx="4254500" cy="2813050"/>
                  <wp:effectExtent l="0" t="0" r="0" b="6350"/>
                  <wp:wrapNone/>
                  <wp:docPr id="6189302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30227"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4500" cy="2813050"/>
                          </a:xfrm>
                          <a:prstGeom prst="rect">
                            <a:avLst/>
                          </a:prstGeom>
                          <a:noFill/>
                          <a:ln>
                            <a:noFill/>
                          </a:ln>
                        </pic:spPr>
                      </pic:pic>
                    </a:graphicData>
                  </a:graphic>
                </wp:anchor>
              </w:drawing>
            </w:r>
          </w:p>
        </w:tc>
      </w:tr>
      <w:bookmarkEnd w:id="0"/>
    </w:tbl>
    <w:p w14:paraId="039BF36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14:paraId="10D5AFE1">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14:paraId="70C90F12">
      <w:pPr>
        <w:pStyle w:val="10"/>
        <w:widowControl/>
        <w:snapToGrid w:val="0"/>
        <w:spacing w:beforeAutospacing="0" w:afterAutospacing="0" w:line="360" w:lineRule="auto"/>
        <w:ind w:firstLine="640" w:firstLineChars="200"/>
        <w:rPr>
          <w:rFonts w:hint="eastAsia" w:ascii="仿宋" w:hAnsi="仿宋" w:eastAsia="仿宋"/>
          <w:sz w:val="30"/>
          <w:szCs w:val="30"/>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361.75万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减少115.28</w:t>
      </w:r>
      <w:r>
        <w:rPr>
          <w:rFonts w:ascii="仿宋" w:hAnsi="仿宋" w:eastAsia="仿宋"/>
          <w:kern w:val="2"/>
          <w:sz w:val="32"/>
          <w:szCs w:val="32"/>
          <w:lang w:val="zh-CN"/>
        </w:rPr>
        <w:t>万元</w:t>
      </w:r>
      <w:r>
        <w:rPr>
          <w:rFonts w:ascii="仿宋" w:hAnsi="仿宋" w:eastAsia="仿宋"/>
          <w:kern w:val="2"/>
          <w:sz w:val="32"/>
          <w:szCs w:val="32"/>
        </w:rPr>
        <w:t>，降低24.2%，</w:t>
      </w:r>
      <w:r>
        <w:rPr>
          <w:rFonts w:ascii="仿宋" w:hAnsi="仿宋" w:eastAsia="仿宋"/>
          <w:kern w:val="2"/>
          <w:sz w:val="32"/>
          <w:szCs w:val="32"/>
          <w:highlight w:val="none"/>
          <w:lang w:val="zh-CN"/>
        </w:rPr>
        <w:t>主要</w:t>
      </w:r>
      <w:r>
        <w:rPr>
          <w:rFonts w:hint="eastAsia" w:ascii="仿宋" w:hAnsi="仿宋" w:eastAsia="仿宋"/>
          <w:kern w:val="2"/>
          <w:sz w:val="32"/>
          <w:szCs w:val="32"/>
          <w:highlight w:val="none"/>
          <w:lang w:val="zh-CN"/>
        </w:rPr>
        <w:t>原因是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val="en-US" w:eastAsia="zh-CN"/>
        </w:rPr>
        <w:t>项目资金减少，</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rPr>
        <w:t>361.75</w:t>
      </w:r>
      <w:r>
        <w:rPr>
          <w:rFonts w:ascii="仿宋" w:hAnsi="仿宋" w:eastAsia="仿宋"/>
          <w:kern w:val="2"/>
          <w:sz w:val="32"/>
          <w:szCs w:val="32"/>
          <w:lang w:val="zh-CN"/>
        </w:rPr>
        <w:t>元</w:t>
      </w:r>
      <w:r>
        <w:rPr>
          <w:rFonts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减少115.28</w:t>
      </w:r>
      <w:r>
        <w:rPr>
          <w:rFonts w:ascii="仿宋" w:hAnsi="仿宋" w:eastAsia="仿宋"/>
          <w:kern w:val="2"/>
          <w:sz w:val="32"/>
          <w:szCs w:val="32"/>
          <w:lang w:val="zh-CN"/>
        </w:rPr>
        <w:t>万元</w:t>
      </w:r>
      <w:r>
        <w:rPr>
          <w:rFonts w:ascii="仿宋" w:hAnsi="仿宋" w:eastAsia="仿宋"/>
          <w:kern w:val="2"/>
          <w:sz w:val="32"/>
          <w:szCs w:val="32"/>
        </w:rPr>
        <w:t>，降低24.2%，</w:t>
      </w:r>
      <w:r>
        <w:rPr>
          <w:rFonts w:ascii="仿宋" w:hAnsi="仿宋" w:eastAsia="仿宋"/>
          <w:kern w:val="2"/>
          <w:sz w:val="32"/>
          <w:szCs w:val="32"/>
          <w:highlight w:val="none"/>
          <w:lang w:val="zh-CN"/>
        </w:rPr>
        <w:t>主要</w:t>
      </w:r>
      <w:r>
        <w:rPr>
          <w:rFonts w:hint="eastAsia" w:ascii="仿宋" w:hAnsi="仿宋" w:eastAsia="仿宋"/>
          <w:kern w:val="2"/>
          <w:sz w:val="32"/>
          <w:szCs w:val="32"/>
          <w:highlight w:val="none"/>
          <w:lang w:val="zh-CN"/>
        </w:rPr>
        <w:t>原因是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val="en-US" w:eastAsia="zh-CN"/>
        </w:rPr>
        <w:t>项目资金减少</w:t>
      </w:r>
      <w:r>
        <w:rPr>
          <w:rFonts w:ascii="仿宋" w:hAnsi="仿宋" w:eastAsia="仿宋"/>
          <w:kern w:val="2"/>
          <w:sz w:val="32"/>
          <w:szCs w:val="32"/>
          <w:lang w:val="zh-CN"/>
        </w:rPr>
        <w:t>。具体情况如下：</w:t>
      </w:r>
    </w:p>
    <w:p w14:paraId="6C54188D">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361.75</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减少115.28</w:t>
      </w:r>
      <w:r>
        <w:rPr>
          <w:rFonts w:ascii="仿宋" w:hAnsi="仿宋" w:eastAsia="仿宋" w:cs="Times New Roman"/>
          <w:kern w:val="2"/>
          <w:sz w:val="32"/>
          <w:szCs w:val="32"/>
          <w:lang w:val="zh-CN"/>
        </w:rPr>
        <w:t>万元</w:t>
      </w:r>
      <w:r>
        <w:rPr>
          <w:rFonts w:ascii="仿宋" w:hAnsi="仿宋" w:eastAsia="仿宋" w:cs="Times New Roman"/>
          <w:kern w:val="2"/>
          <w:sz w:val="32"/>
          <w:szCs w:val="32"/>
        </w:rPr>
        <w:t>，降低24.2%</w:t>
      </w:r>
      <w:r>
        <w:rPr>
          <w:rFonts w:hint="eastAsia" w:ascii="仿宋" w:hAnsi="仿宋" w:eastAsia="仿宋" w:cs="Times New Roman"/>
          <w:kern w:val="2"/>
          <w:sz w:val="32"/>
          <w:szCs w:val="32"/>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kern w:val="2"/>
          <w:sz w:val="32"/>
          <w:szCs w:val="32"/>
          <w:highlight w:val="none"/>
          <w:lang w:val="en-US" w:eastAsia="zh-CN"/>
        </w:rPr>
        <w:t>项目资金减少</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361.75万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减少115.28</w:t>
      </w:r>
      <w:r>
        <w:rPr>
          <w:rFonts w:ascii="仿宋" w:hAnsi="仿宋" w:eastAsia="仿宋" w:cs="Times New Roman"/>
          <w:kern w:val="2"/>
          <w:sz w:val="32"/>
          <w:szCs w:val="32"/>
          <w:lang w:val="zh-CN"/>
        </w:rPr>
        <w:t>万元</w:t>
      </w:r>
      <w:r>
        <w:rPr>
          <w:rFonts w:ascii="仿宋" w:hAnsi="仿宋" w:eastAsia="仿宋" w:cs="Times New Roman"/>
          <w:kern w:val="2"/>
          <w:sz w:val="32"/>
          <w:szCs w:val="32"/>
        </w:rPr>
        <w:t>，降低24.2%，</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rPr>
        <w:t>：</w:t>
      </w:r>
      <w:r>
        <w:rPr>
          <w:rFonts w:hint="eastAsia" w:ascii="仿宋" w:hAnsi="仿宋" w:eastAsia="仿宋"/>
          <w:kern w:val="2"/>
          <w:sz w:val="32"/>
          <w:szCs w:val="32"/>
          <w:highlight w:val="none"/>
          <w:lang w:val="en-US" w:eastAsia="zh-CN"/>
        </w:rPr>
        <w:t>项目资金减少</w:t>
      </w:r>
      <w:r>
        <w:rPr>
          <w:rFonts w:ascii="仿宋" w:hAnsi="仿宋" w:eastAsia="仿宋" w:cs="Times New Roman"/>
          <w:kern w:val="2"/>
          <w:sz w:val="32"/>
          <w:szCs w:val="32"/>
          <w:lang w:val="zh-CN"/>
        </w:rPr>
        <w:t>。</w:t>
      </w:r>
    </w:p>
    <w:p w14:paraId="713ED287">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p w14:paraId="75B73B36">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2"/>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5F81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14:paraId="5EBA8E75">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276860</wp:posOffset>
                  </wp:positionH>
                  <wp:positionV relativeFrom="paragraph">
                    <wp:posOffset>69850</wp:posOffset>
                  </wp:positionV>
                  <wp:extent cx="4273550" cy="3168650"/>
                  <wp:effectExtent l="0" t="0" r="0" b="0"/>
                  <wp:wrapNone/>
                  <wp:docPr id="6632237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23758"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3550" cy="3168650"/>
                          </a:xfrm>
                          <a:prstGeom prst="rect">
                            <a:avLst/>
                          </a:prstGeom>
                          <a:noFill/>
                          <a:ln>
                            <a:noFill/>
                          </a:ln>
                        </pic:spPr>
                      </pic:pic>
                    </a:graphicData>
                  </a:graphic>
                </wp:anchor>
              </w:drawing>
            </w:r>
          </w:p>
        </w:tc>
      </w:tr>
      <w:bookmarkEnd w:id="1"/>
    </w:tbl>
    <w:p w14:paraId="0A03FFD6">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14:paraId="4BD42F6A">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361.75万元，完成年初预算的63.3%，比年初预算减少209.88万元，决算数小于预算数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项目支出减少及办公经费缩减</w:t>
      </w:r>
      <w:r>
        <w:rPr>
          <w:rFonts w:ascii="仿宋" w:hAnsi="仿宋" w:eastAsia="仿宋" w:cs="Times New Roman"/>
          <w:kern w:val="2"/>
          <w:sz w:val="32"/>
          <w:szCs w:val="32"/>
          <w:highlight w:val="none"/>
          <w:lang w:val="zh-CN"/>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361.75万元，完成年初预算的63.3%，比年初预算减少209.88万元，决算数小于预算数</w:t>
      </w:r>
      <w:r>
        <w:rPr>
          <w:rFonts w:hint="eastAsia" w:ascii="仿宋" w:hAnsi="仿宋" w:eastAsia="仿宋" w:cs="Times New Roman"/>
          <w:kern w:val="2"/>
          <w:sz w:val="32"/>
          <w:szCs w:val="32"/>
          <w:lang w:val="zh-CN"/>
        </w:rPr>
        <w:t>，</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项目支出减少及办公经费缩减</w:t>
      </w:r>
      <w:r>
        <w:rPr>
          <w:rFonts w:ascii="仿宋" w:hAnsi="仿宋" w:eastAsia="仿宋" w:cs="Times New Roman"/>
          <w:kern w:val="2"/>
          <w:sz w:val="32"/>
          <w:szCs w:val="32"/>
          <w:lang w:val="zh-CN"/>
        </w:rPr>
        <w:t>。具体情况如下：</w:t>
      </w:r>
    </w:p>
    <w:p w14:paraId="30D1DFF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361.75</w:t>
      </w:r>
      <w:r>
        <w:rPr>
          <w:rFonts w:ascii="仿宋" w:hAnsi="仿宋" w:eastAsia="仿宋" w:cs="Times New Roman"/>
          <w:kern w:val="2"/>
          <w:sz w:val="32"/>
          <w:szCs w:val="32"/>
          <w:lang w:val="zh-CN"/>
        </w:rPr>
        <w:t>万元，完成年初预算的63.3%，比年初预算减少209.88万元，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项目支出减少及办公经费缩减</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361.75</w:t>
      </w:r>
      <w:r>
        <w:rPr>
          <w:rFonts w:ascii="仿宋" w:hAnsi="仿宋" w:eastAsia="仿宋" w:cs="Times New Roman"/>
          <w:kern w:val="2"/>
          <w:sz w:val="32"/>
          <w:szCs w:val="32"/>
          <w:lang w:val="zh-CN"/>
        </w:rPr>
        <w:t>万元，完成年初预算的63.3%，比年初预算减少209.88万元，</w:t>
      </w:r>
      <w:r>
        <w:rPr>
          <w:rFonts w:ascii="仿宋" w:hAnsi="仿宋" w:eastAsia="仿宋" w:cs="Times New Roman"/>
          <w:kern w:val="2"/>
          <w:sz w:val="32"/>
          <w:szCs w:val="32"/>
          <w:highlight w:val="none"/>
          <w:lang w:val="zh-CN"/>
        </w:rPr>
        <w:t>主要</w:t>
      </w:r>
      <w:r>
        <w:rPr>
          <w:rFonts w:hint="eastAsia" w:ascii="仿宋" w:hAnsi="仿宋" w:eastAsia="仿宋" w:cs="Times New Roman"/>
          <w:kern w:val="2"/>
          <w:sz w:val="32"/>
          <w:szCs w:val="32"/>
          <w:highlight w:val="none"/>
          <w:lang w:val="zh-CN"/>
        </w:rPr>
        <w:t>原因是：</w:t>
      </w:r>
      <w:r>
        <w:rPr>
          <w:rFonts w:hint="eastAsia" w:ascii="仿宋" w:hAnsi="仿宋" w:eastAsia="仿宋" w:cs="Times New Roman"/>
          <w:kern w:val="2"/>
          <w:sz w:val="32"/>
          <w:szCs w:val="32"/>
          <w:highlight w:val="none"/>
          <w:lang w:val="en-US" w:eastAsia="zh-CN"/>
        </w:rPr>
        <w:t>项目支出减少及办公经费缩减</w:t>
      </w:r>
      <w:r>
        <w:rPr>
          <w:rFonts w:ascii="仿宋" w:hAnsi="仿宋" w:eastAsia="仿宋" w:cs="Times New Roman"/>
          <w:kern w:val="2"/>
          <w:sz w:val="32"/>
          <w:szCs w:val="32"/>
          <w:lang w:val="zh-CN"/>
        </w:rPr>
        <w:t>。</w:t>
      </w:r>
    </w:p>
    <w:p w14:paraId="7E89847B">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ascii="仿宋" w:hAnsi="仿宋" w:eastAsia="仿宋" w:cs="Times New Roman"/>
          <w:kern w:val="2"/>
          <w:sz w:val="32"/>
          <w:szCs w:val="32"/>
          <w:lang w:val="zh-CN"/>
        </w:rPr>
        <w:t>，与预算持平。</w:t>
      </w:r>
    </w:p>
    <w:p w14:paraId="20C58EC1">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2"/>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14:paraId="0F9E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14:paraId="214C8533">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260350</wp:posOffset>
                  </wp:positionH>
                  <wp:positionV relativeFrom="paragraph">
                    <wp:posOffset>271145</wp:posOffset>
                  </wp:positionV>
                  <wp:extent cx="4324350" cy="2857500"/>
                  <wp:effectExtent l="0" t="0" r="0" b="0"/>
                  <wp:wrapNone/>
                  <wp:docPr id="10993933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93375"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4350" cy="2857500"/>
                          </a:xfrm>
                          <a:prstGeom prst="rect">
                            <a:avLst/>
                          </a:prstGeom>
                          <a:noFill/>
                          <a:ln>
                            <a:noFill/>
                          </a:ln>
                        </pic:spPr>
                      </pic:pic>
                    </a:graphicData>
                  </a:graphic>
                </wp:anchor>
              </w:drawing>
            </w:r>
          </w:p>
        </w:tc>
      </w:tr>
    </w:tbl>
    <w:p w14:paraId="57CE7A1E">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14:paraId="272FAA24">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361.75</w:t>
      </w:r>
      <w:r>
        <w:rPr>
          <w:rFonts w:ascii="仿宋" w:hAnsi="仿宋" w:eastAsia="仿宋" w:cs="Times New Roman"/>
          <w:kern w:val="2"/>
          <w:sz w:val="32"/>
          <w:szCs w:val="32"/>
          <w:lang w:val="zh-CN"/>
        </w:rPr>
        <w:t>万元，主要用于以下方面：</w:t>
      </w:r>
    </w:p>
    <w:p w14:paraId="6A9EE75D">
      <w:pPr>
        <w:keepNext w:val="0"/>
        <w:keepLines w:val="0"/>
        <w:widowControl/>
        <w:suppressLineNumbers w:val="0"/>
        <w:jc w:val="left"/>
        <w:rPr>
          <w:rFonts w:hint="eastAsia" w:ascii="仿宋" w:hAnsi="仿宋" w:eastAsia="仿宋"/>
          <w:kern w:val="2"/>
          <w:sz w:val="32"/>
          <w:szCs w:val="32"/>
          <w:lang w:val="zh-CN"/>
        </w:rPr>
      </w:pPr>
      <w:r>
        <w:rPr>
          <w:rFonts w:hint="eastAsia" w:ascii="仿宋" w:hAnsi="仿宋" w:eastAsia="仿宋" w:cs="仿宋_GB2312"/>
          <w:sz w:val="32"/>
          <w:szCs w:val="32"/>
        </w:rPr>
        <w:t>社会保障和就业（类）支出44.11万元，占12.2%，</w:t>
      </w:r>
      <w:r>
        <w:rPr>
          <w:rFonts w:hint="eastAsia" w:ascii="仿宋" w:hAnsi="仿宋" w:eastAsia="仿宋" w:cs="仿宋_GB2312"/>
          <w:sz w:val="32"/>
          <w:szCs w:val="32"/>
          <w:highlight w:val="none"/>
        </w:rPr>
        <w:t>主要用于</w:t>
      </w:r>
      <w:r>
        <w:rPr>
          <w:rFonts w:ascii="仿宋" w:hAnsi="仿宋" w:eastAsia="仿宋" w:cs="仿宋"/>
          <w:color w:val="000000"/>
          <w:kern w:val="0"/>
          <w:sz w:val="31"/>
          <w:szCs w:val="31"/>
          <w:lang w:val="en-US" w:eastAsia="zh-CN" w:bidi="ar"/>
        </w:rPr>
        <w:t>退休费和在职人员养老保险、职业年金等支出</w:t>
      </w:r>
      <w:r>
        <w:rPr>
          <w:rFonts w:hint="eastAsia" w:ascii="仿宋" w:hAnsi="仿宋" w:eastAsia="仿宋" w:cs="仿宋_GB2312"/>
          <w:sz w:val="32"/>
          <w:szCs w:val="32"/>
        </w:rPr>
        <w:t>；卫生健康（类）支出13.32万元，占3.7%，</w:t>
      </w:r>
      <w:r>
        <w:rPr>
          <w:rFonts w:hint="eastAsia" w:ascii="仿宋" w:hAnsi="仿宋" w:eastAsia="仿宋" w:cs="仿宋_GB2312"/>
          <w:sz w:val="32"/>
          <w:szCs w:val="32"/>
          <w:highlight w:val="none"/>
        </w:rPr>
        <w:t>主要用于</w:t>
      </w:r>
      <w:r>
        <w:rPr>
          <w:rFonts w:ascii="仿宋" w:hAnsi="仿宋" w:eastAsia="仿宋" w:cs="仿宋"/>
          <w:color w:val="000000"/>
          <w:kern w:val="0"/>
          <w:sz w:val="31"/>
          <w:szCs w:val="31"/>
          <w:highlight w:val="none"/>
          <w:lang w:val="en-US" w:eastAsia="zh-CN" w:bidi="ar"/>
        </w:rPr>
        <w:t>主要用于在职人员医疗保险、</w:t>
      </w:r>
      <w:r>
        <w:rPr>
          <w:rFonts w:hint="eastAsia" w:ascii="仿宋" w:hAnsi="仿宋" w:eastAsia="仿宋" w:cs="仿宋"/>
          <w:color w:val="000000"/>
          <w:kern w:val="0"/>
          <w:sz w:val="31"/>
          <w:szCs w:val="31"/>
          <w:highlight w:val="none"/>
          <w:lang w:val="en-US" w:eastAsia="zh-CN" w:bidi="ar"/>
        </w:rPr>
        <w:t>公务员</w:t>
      </w:r>
      <w:r>
        <w:rPr>
          <w:rFonts w:hint="eastAsia" w:ascii="仿宋" w:hAnsi="仿宋" w:eastAsia="仿宋" w:cs="仿宋"/>
          <w:color w:val="000000"/>
          <w:kern w:val="0"/>
          <w:sz w:val="31"/>
          <w:szCs w:val="31"/>
          <w:lang w:val="en-US" w:eastAsia="zh-CN" w:bidi="ar"/>
        </w:rPr>
        <w:t>医疗补助等支出；</w:t>
      </w:r>
      <w:r>
        <w:rPr>
          <w:rFonts w:hint="eastAsia" w:ascii="仿宋" w:hAnsi="仿宋" w:eastAsia="仿宋" w:cs="仿宋_GB2312"/>
          <w:sz w:val="32"/>
          <w:szCs w:val="32"/>
        </w:rPr>
        <w:t>交通运输（类）支出287.91万元，占79.6%，</w:t>
      </w:r>
      <w:r>
        <w:rPr>
          <w:rFonts w:hint="eastAsia" w:ascii="仿宋" w:hAnsi="仿宋" w:eastAsia="仿宋" w:cs="仿宋_GB2312"/>
          <w:sz w:val="32"/>
          <w:szCs w:val="32"/>
          <w:highlight w:val="none"/>
        </w:rPr>
        <w:t>主要用于</w:t>
      </w:r>
      <w:r>
        <w:rPr>
          <w:rFonts w:ascii="仿宋" w:hAnsi="仿宋" w:eastAsia="仿宋" w:cs="仿宋"/>
          <w:color w:val="000000"/>
          <w:kern w:val="0"/>
          <w:sz w:val="31"/>
          <w:szCs w:val="31"/>
          <w:lang w:val="en-US" w:eastAsia="zh-CN" w:bidi="ar"/>
        </w:rPr>
        <w:t>在职人员工资、公路维护养护等支出</w:t>
      </w:r>
      <w:r>
        <w:rPr>
          <w:rFonts w:hint="eastAsia" w:ascii="仿宋" w:hAnsi="仿宋" w:eastAsia="仿宋" w:cs="仿宋_GB2312"/>
          <w:sz w:val="32"/>
          <w:szCs w:val="32"/>
        </w:rPr>
        <w:t>；住房保障（类）支出16.40万元，占4.5%，</w:t>
      </w:r>
      <w:r>
        <w:rPr>
          <w:rFonts w:hint="eastAsia" w:ascii="仿宋" w:hAnsi="仿宋" w:eastAsia="仿宋" w:cs="仿宋_GB2312"/>
          <w:sz w:val="32"/>
          <w:szCs w:val="32"/>
          <w:highlight w:val="none"/>
        </w:rPr>
        <w:t>主要用于</w:t>
      </w:r>
      <w:r>
        <w:rPr>
          <w:rFonts w:hint="eastAsia" w:ascii="仿宋" w:hAnsi="仿宋" w:eastAsia="仿宋" w:cs="仿宋_GB2312"/>
          <w:sz w:val="32"/>
          <w:szCs w:val="32"/>
          <w:highlight w:val="none"/>
          <w:lang w:eastAsia="zh-CN"/>
        </w:rPr>
        <w:t>：</w:t>
      </w:r>
      <w:r>
        <w:rPr>
          <w:rFonts w:ascii="仿宋" w:hAnsi="仿宋" w:eastAsia="仿宋" w:cs="仿宋"/>
          <w:color w:val="000000"/>
          <w:kern w:val="0"/>
          <w:sz w:val="31"/>
          <w:szCs w:val="31"/>
          <w:highlight w:val="none"/>
          <w:lang w:val="en-US" w:eastAsia="zh-CN" w:bidi="ar"/>
        </w:rPr>
        <w:t>在职人员住房公积金等</w:t>
      </w:r>
      <w:r>
        <w:rPr>
          <w:rFonts w:hint="eastAsia" w:ascii="仿宋" w:hAnsi="仿宋" w:eastAsia="仿宋" w:cs="仿宋"/>
          <w:color w:val="000000"/>
          <w:kern w:val="0"/>
          <w:sz w:val="31"/>
          <w:szCs w:val="31"/>
          <w:highlight w:val="none"/>
          <w:lang w:val="en-US" w:eastAsia="zh-CN" w:bidi="ar"/>
        </w:rPr>
        <w:t>支出。</w:t>
      </w:r>
    </w:p>
    <w:p w14:paraId="6D1ED524">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14:paraId="52E3B7AB">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2023年度财政拨款基本支出195.40万元，其中：</w:t>
      </w:r>
    </w:p>
    <w:p w14:paraId="050A030D">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187.39万元，主要包括:基本工资、津贴补贴、奖金、伙食补助费、机关事业单位基本养老保险缴费、职业年金缴费、职工基本医疗保险缴费、公务员医疗补助缴费、其他社会保障缴费、住房公积金、退休费、奖励金、其他对个人和家庭的补助；</w:t>
      </w:r>
    </w:p>
    <w:p w14:paraId="6C23BAB9">
      <w:pPr>
        <w:pStyle w:val="10"/>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公用经费8.01万元，主要包括:办公费、印刷费、邮电费、差旅费、维修（护）费、培训费、工会经费、福利费、公务用车运行维护费、其他商品和服务支出。</w:t>
      </w:r>
    </w:p>
    <w:p w14:paraId="31BF437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14:paraId="118C1A9A">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14:paraId="46E54EC7">
      <w:pPr>
        <w:pStyle w:val="10"/>
        <w:widowControl/>
        <w:snapToGrid w:val="0"/>
        <w:spacing w:beforeAutospacing="0" w:afterAutospacing="0" w:line="360" w:lineRule="auto"/>
        <w:ind w:firstLine="640" w:firstLineChars="200"/>
        <w:rPr>
          <w:rFonts w:hint="eastAsia" w:ascii="仿宋" w:hAnsi="仿宋" w:eastAsia="仿宋"/>
          <w:kern w:val="2"/>
          <w:sz w:val="32"/>
          <w:szCs w:val="32"/>
          <w:highlight w:val="none"/>
        </w:rPr>
      </w:pPr>
      <w:r>
        <w:rPr>
          <w:rFonts w:ascii="仿宋" w:hAnsi="仿宋" w:eastAsia="仿宋"/>
          <w:kern w:val="2"/>
          <w:sz w:val="32"/>
          <w:szCs w:val="32"/>
          <w:lang w:val="zh-CN"/>
        </w:rPr>
        <w:t>本</w:t>
      </w:r>
      <w:r>
        <w:rPr>
          <w:rFonts w:ascii="仿宋" w:hAnsi="仿宋" w:eastAsia="仿宋"/>
          <w:kern w:val="2"/>
          <w:sz w:val="32"/>
          <w:szCs w:val="32"/>
        </w:rPr>
        <w:t>单位2023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1.81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1.81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增加0.09</w:t>
      </w:r>
      <w:r>
        <w:rPr>
          <w:rFonts w:ascii="仿宋" w:hAnsi="仿宋" w:eastAsia="仿宋"/>
          <w:kern w:val="2"/>
          <w:sz w:val="32"/>
          <w:szCs w:val="32"/>
          <w:lang w:val="zh-CN"/>
        </w:rPr>
        <w:t>万元</w:t>
      </w:r>
      <w:r>
        <w:rPr>
          <w:rFonts w:ascii="仿宋" w:hAnsi="仿宋" w:eastAsia="仿宋"/>
          <w:kern w:val="2"/>
          <w:sz w:val="32"/>
          <w:szCs w:val="32"/>
        </w:rPr>
        <w:t>，增长5.1%，</w:t>
      </w:r>
      <w:r>
        <w:rPr>
          <w:rFonts w:hint="eastAsia" w:ascii="仿宋" w:hAnsi="仿宋" w:eastAsia="仿宋"/>
          <w:kern w:val="2"/>
          <w:sz w:val="32"/>
          <w:szCs w:val="32"/>
          <w:highlight w:val="none"/>
          <w:lang w:val="zh-CN"/>
        </w:rPr>
        <w:t>主要原因是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val="en-US" w:eastAsia="zh-CN"/>
        </w:rPr>
        <w:t>维修费增加</w:t>
      </w:r>
      <w:r>
        <w:rPr>
          <w:rFonts w:ascii="仿宋" w:hAnsi="仿宋" w:eastAsia="仿宋"/>
          <w:kern w:val="2"/>
          <w:sz w:val="32"/>
          <w:szCs w:val="32"/>
          <w:highlight w:val="none"/>
          <w:lang w:val="zh-CN"/>
        </w:rPr>
        <w:t>。</w:t>
      </w:r>
    </w:p>
    <w:p w14:paraId="660BF10C">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14:paraId="732B4182">
      <w:pPr>
        <w:pStyle w:val="10"/>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本单位</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r>
        <w:rPr>
          <w:rFonts w:hint="eastAsia" w:ascii="仿宋" w:hAnsi="仿宋" w:eastAsia="仿宋"/>
          <w:kern w:val="2"/>
          <w:sz w:val="32"/>
          <w:szCs w:val="32"/>
        </w:rPr>
        <w:t>、</w:t>
      </w:r>
      <w:r>
        <w:rPr>
          <w:rFonts w:ascii="仿宋" w:hAnsi="仿宋" w:eastAsia="仿宋"/>
          <w:kern w:val="2"/>
          <w:sz w:val="32"/>
          <w:szCs w:val="32"/>
        </w:rPr>
        <w:t>无本部门组织的出国（境）团组。</w:t>
      </w:r>
    </w:p>
    <w:p w14:paraId="2022681C">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年度公务用车购置及运行维护费预算为1.81万元，支出决算1.81万元，完成预算的100.0%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公务用车购置及运行维护费支出与预算持平，较上年增加0.09万元，增长5.1%</w:t>
      </w:r>
      <w:r>
        <w:rPr>
          <w:rFonts w:hint="eastAsia" w:ascii="仿宋" w:hAnsi="仿宋" w:eastAsia="仿宋" w:cs="Times New Roman"/>
          <w:kern w:val="2"/>
          <w:sz w:val="32"/>
          <w:szCs w:val="32"/>
          <w:lang w:val="zh-CN"/>
        </w:rPr>
        <w:t>，</w:t>
      </w:r>
      <w:r>
        <w:rPr>
          <w:rFonts w:hint="eastAsia" w:ascii="仿宋" w:hAnsi="仿宋" w:eastAsia="仿宋" w:cs="Times New Roman"/>
          <w:kern w:val="2"/>
          <w:sz w:val="32"/>
          <w:szCs w:val="32"/>
          <w:lang w:val="en-US" w:eastAsia="zh-CN"/>
        </w:rPr>
        <w:t>主</w:t>
      </w:r>
      <w:r>
        <w:rPr>
          <w:rFonts w:hint="eastAsia" w:ascii="仿宋" w:hAnsi="仿宋" w:eastAsia="仿宋"/>
          <w:kern w:val="2"/>
          <w:sz w:val="32"/>
          <w:szCs w:val="32"/>
          <w:highlight w:val="none"/>
          <w:lang w:val="zh-CN"/>
        </w:rPr>
        <w:t>要原因是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val="en-US" w:eastAsia="zh-CN"/>
        </w:rPr>
        <w:t>维修费增加</w:t>
      </w:r>
      <w:r>
        <w:rPr>
          <w:rFonts w:ascii="仿宋" w:hAnsi="仿宋" w:eastAsia="仿宋"/>
          <w:kern w:val="2"/>
          <w:sz w:val="32"/>
          <w:szCs w:val="32"/>
          <w:highlight w:val="none"/>
          <w:lang w:val="zh-CN"/>
        </w:rPr>
        <w:t>。</w:t>
      </w:r>
    </w:p>
    <w:p w14:paraId="6300CA32">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14:paraId="5F0DDFC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公务用车运行维护费支出1.81</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年度单位公务用车保有量1辆，发生运行维护费支出</w:t>
      </w:r>
      <w:r>
        <w:rPr>
          <w:rFonts w:hint="eastAsia" w:ascii="仿宋" w:hAnsi="仿宋" w:eastAsia="仿宋" w:cs="Times New Roman"/>
          <w:kern w:val="2"/>
          <w:sz w:val="32"/>
          <w:szCs w:val="32"/>
        </w:rPr>
        <w:t>1.81</w:t>
      </w:r>
      <w:r>
        <w:rPr>
          <w:rFonts w:ascii="仿宋" w:hAnsi="仿宋" w:eastAsia="仿宋" w:cs="Times New Roman"/>
          <w:kern w:val="2"/>
          <w:sz w:val="32"/>
          <w:szCs w:val="32"/>
          <w:lang w:val="zh-CN"/>
        </w:rPr>
        <w:t>万元。公车运行维护费支出与预算持平，较上年增加0.09万元，增长5.1%，</w:t>
      </w:r>
      <w:r>
        <w:rPr>
          <w:rFonts w:hint="eastAsia" w:ascii="仿宋" w:hAnsi="仿宋" w:eastAsia="仿宋" w:cs="Times New Roman"/>
          <w:kern w:val="2"/>
          <w:sz w:val="32"/>
          <w:szCs w:val="32"/>
          <w:lang w:val="en-US" w:eastAsia="zh-CN"/>
        </w:rPr>
        <w:t>主</w:t>
      </w:r>
      <w:r>
        <w:rPr>
          <w:rFonts w:hint="eastAsia" w:ascii="仿宋" w:hAnsi="仿宋" w:eastAsia="仿宋"/>
          <w:kern w:val="2"/>
          <w:sz w:val="32"/>
          <w:szCs w:val="32"/>
          <w:highlight w:val="none"/>
          <w:lang w:val="zh-CN"/>
        </w:rPr>
        <w:t>要原因是</w:t>
      </w:r>
      <w:r>
        <w:rPr>
          <w:rFonts w:hint="eastAsia" w:ascii="仿宋" w:hAnsi="仿宋" w:eastAsia="仿宋"/>
          <w:kern w:val="2"/>
          <w:sz w:val="32"/>
          <w:szCs w:val="32"/>
          <w:highlight w:val="none"/>
        </w:rPr>
        <w:t>：</w:t>
      </w:r>
      <w:r>
        <w:rPr>
          <w:rFonts w:hint="eastAsia" w:ascii="仿宋" w:hAnsi="仿宋" w:eastAsia="仿宋"/>
          <w:kern w:val="2"/>
          <w:sz w:val="32"/>
          <w:szCs w:val="32"/>
          <w:highlight w:val="none"/>
          <w:lang w:val="en-US" w:eastAsia="zh-CN"/>
        </w:rPr>
        <w:t>维修费增加</w:t>
      </w:r>
      <w:r>
        <w:rPr>
          <w:rFonts w:ascii="仿宋" w:hAnsi="仿宋" w:eastAsia="仿宋"/>
          <w:kern w:val="2"/>
          <w:sz w:val="32"/>
          <w:szCs w:val="32"/>
          <w:highlight w:val="none"/>
          <w:lang w:val="zh-CN"/>
        </w:rPr>
        <w:t>。</w:t>
      </w:r>
    </w:p>
    <w:p w14:paraId="7D360A8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年度公务接待费支出预算为0.00万元，支出决算0.00万元。公务接待费支出与预算持平，与上年持平。本年度共发生公务接待0批次、0人次。</w:t>
      </w:r>
    </w:p>
    <w:p w14:paraId="1D3FAD1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14:paraId="2EE064E3">
      <w:pPr>
        <w:pStyle w:val="10"/>
        <w:widowControl/>
        <w:snapToGrid w:val="0"/>
        <w:spacing w:beforeAutospacing="0" w:afterAutospacing="0" w:line="360" w:lineRule="auto"/>
        <w:ind w:firstLine="200"/>
        <w:jc w:val="both"/>
        <w:rPr>
          <w:rFonts w:hint="eastAsia" w:ascii="仿宋" w:hAnsi="仿宋" w:eastAsia="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单位性质非行政单位和参照公务员管理事业单位，故无机关运行经费</w:t>
      </w:r>
      <w:r>
        <w:rPr>
          <w:rFonts w:ascii="仿宋" w:hAnsi="仿宋" w:eastAsia="仿宋"/>
          <w:kern w:val="2"/>
          <w:sz w:val="32"/>
          <w:szCs w:val="32"/>
          <w:lang w:val="zh-CN"/>
        </w:rPr>
        <w:t>。</w:t>
      </w:r>
    </w:p>
    <w:p w14:paraId="718B12E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14:paraId="7F614231">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本单位202</w:t>
      </w:r>
      <w:r>
        <w:rPr>
          <w:rFonts w:ascii="仿宋" w:hAnsi="仿宋" w:eastAsia="仿宋"/>
          <w:kern w:val="2"/>
          <w:sz w:val="32"/>
          <w:szCs w:val="32"/>
        </w:rPr>
        <w:t>3</w:t>
      </w:r>
      <w:r>
        <w:rPr>
          <w:rFonts w:ascii="仿宋" w:hAnsi="仿宋" w:eastAsia="仿宋"/>
          <w:kern w:val="2"/>
          <w:sz w:val="32"/>
          <w:szCs w:val="32"/>
          <w:lang w:val="zh-CN"/>
        </w:rPr>
        <w:t>年度政府采购支出总额346.82万元，从采购类型来看，政府采购货物支出0.00万元、政府采购工程支出160.00万元、政府采购服务支出186.82万元。授予中小企业</w:t>
      </w:r>
      <w:r>
        <w:rPr>
          <w:rFonts w:ascii="仿宋" w:hAnsi="仿宋" w:eastAsia="仿宋"/>
          <w:kern w:val="2"/>
          <w:sz w:val="32"/>
          <w:szCs w:val="32"/>
        </w:rPr>
        <w:t>合同金额</w:t>
      </w:r>
      <w:r>
        <w:rPr>
          <w:rFonts w:ascii="仿宋" w:hAnsi="仿宋" w:eastAsia="仿宋"/>
          <w:kern w:val="2"/>
          <w:sz w:val="32"/>
          <w:szCs w:val="32"/>
          <w:lang w:val="zh-CN"/>
        </w:rPr>
        <w:t>346.82万元，占政府采购支出总额的100.0%，其中授予小微企业合同金额346.82万元，占政府采购支出总额的100.0%。</w:t>
      </w:r>
    </w:p>
    <w:p w14:paraId="51355201">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14:paraId="6975E2F0">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年12月31日，本单位共有车辆10辆，与上年持平。其中，副部（省）级及以上领导用车0辆，主要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用车0辆，机要通信用车0辆，应急保障用车2辆，执法执勤用车0辆，特种专业技术用车8辆，离退休干部用车0辆，其他用车0辆。</w:t>
      </w:r>
    </w:p>
    <w:p w14:paraId="0597C21D">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14:paraId="29FE8C8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14:paraId="25620783">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14:paraId="3CC6F8B8">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根据预算绩效管理要求，本单位组织对2023年度一般公共预算项目支出全面开展绩效自评，其中，一级项目</w:t>
      </w:r>
      <w:r>
        <w:rPr>
          <w:rFonts w:hint="eastAsia" w:ascii="仿宋" w:hAnsi="仿宋" w:eastAsia="仿宋"/>
          <w:kern w:val="2"/>
          <w:sz w:val="32"/>
          <w:szCs w:val="32"/>
          <w:lang w:val="en-US" w:eastAsia="zh-CN"/>
        </w:rPr>
        <w:t>0</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8</w:t>
      </w:r>
      <w:r>
        <w:rPr>
          <w:rFonts w:ascii="仿宋" w:hAnsi="仿宋" w:eastAsia="仿宋"/>
          <w:kern w:val="2"/>
          <w:sz w:val="32"/>
          <w:szCs w:val="32"/>
          <w:lang w:val="zh-CN"/>
        </w:rPr>
        <w:t>个，共涉及资金</w:t>
      </w:r>
      <w:r>
        <w:rPr>
          <w:rFonts w:hint="eastAsia" w:ascii="仿宋" w:hAnsi="仿宋" w:eastAsia="仿宋"/>
          <w:kern w:val="2"/>
          <w:sz w:val="32"/>
          <w:szCs w:val="32"/>
          <w:lang w:val="en-US" w:eastAsia="zh-CN"/>
        </w:rPr>
        <w:t>233.37</w:t>
      </w:r>
      <w:r>
        <w:rPr>
          <w:rFonts w:ascii="仿宋" w:hAnsi="仿宋" w:eastAsia="仿宋"/>
          <w:kern w:val="2"/>
          <w:sz w:val="32"/>
          <w:szCs w:val="32"/>
          <w:lang w:val="zh-CN"/>
        </w:rPr>
        <w:t>万元，占一般公共预算项目支出总额的</w:t>
      </w:r>
      <w:r>
        <w:rPr>
          <w:rFonts w:hint="eastAsia" w:ascii="仿宋" w:hAnsi="仿宋" w:eastAsia="仿宋"/>
          <w:kern w:val="2"/>
          <w:sz w:val="32"/>
          <w:szCs w:val="32"/>
          <w:lang w:val="en-US" w:eastAsia="zh-CN"/>
        </w:rPr>
        <w:t>40.48</w:t>
      </w:r>
      <w:r>
        <w:rPr>
          <w:rFonts w:ascii="仿宋" w:hAnsi="仿宋" w:eastAsia="仿宋"/>
          <w:kern w:val="2"/>
          <w:sz w:val="32"/>
          <w:szCs w:val="32"/>
          <w:lang w:val="zh-CN"/>
        </w:rPr>
        <w:t>%。组织对2023年度</w:t>
      </w:r>
      <w:r>
        <w:rPr>
          <w:rFonts w:hint="eastAsia" w:ascii="仿宋" w:hAnsi="仿宋" w:eastAsia="仿宋"/>
          <w:kern w:val="2"/>
          <w:sz w:val="32"/>
          <w:szCs w:val="32"/>
          <w:lang w:val="en-US" w:eastAsia="zh-CN"/>
        </w:rPr>
        <w:t>0</w:t>
      </w:r>
      <w:r>
        <w:rPr>
          <w:rFonts w:ascii="仿宋" w:hAnsi="仿宋" w:eastAsia="仿宋"/>
          <w:kern w:val="2"/>
          <w:sz w:val="32"/>
          <w:szCs w:val="32"/>
          <w:lang w:val="zh-CN"/>
        </w:rPr>
        <w:t>个政府性基金预算项目支出开展绩效自评，共涉及资金</w:t>
      </w:r>
      <w:r>
        <w:rPr>
          <w:rFonts w:hint="eastAsia" w:ascii="仿宋" w:hAnsi="仿宋" w:eastAsia="仿宋"/>
          <w:kern w:val="2"/>
          <w:sz w:val="32"/>
          <w:szCs w:val="32"/>
          <w:lang w:val="en-US" w:eastAsia="zh-CN"/>
        </w:rPr>
        <w:t>0</w:t>
      </w:r>
      <w:r>
        <w:rPr>
          <w:rFonts w:ascii="仿宋" w:hAnsi="仿宋" w:eastAsia="仿宋"/>
          <w:kern w:val="2"/>
          <w:sz w:val="32"/>
          <w:szCs w:val="32"/>
          <w:lang w:val="zh-CN"/>
        </w:rPr>
        <w:t>万元，占政府性基金预算项目支出总额的</w:t>
      </w:r>
      <w:r>
        <w:rPr>
          <w:rFonts w:hint="eastAsia" w:ascii="仿宋" w:hAnsi="仿宋" w:eastAsia="仿宋"/>
          <w:kern w:val="2"/>
          <w:sz w:val="32"/>
          <w:szCs w:val="32"/>
          <w:lang w:val="en-US" w:eastAsia="zh-CN"/>
        </w:rPr>
        <w:t>0</w:t>
      </w:r>
      <w:r>
        <w:rPr>
          <w:rFonts w:ascii="仿宋" w:hAnsi="仿宋" w:eastAsia="仿宋"/>
          <w:kern w:val="2"/>
          <w:sz w:val="32"/>
          <w:szCs w:val="32"/>
          <w:lang w:val="zh-CN"/>
        </w:rPr>
        <w:t>%。组织对2023年度</w:t>
      </w:r>
      <w:r>
        <w:rPr>
          <w:rFonts w:hint="eastAsia" w:ascii="仿宋" w:hAnsi="仿宋" w:eastAsia="仿宋"/>
          <w:kern w:val="2"/>
          <w:sz w:val="32"/>
          <w:szCs w:val="32"/>
          <w:lang w:val="en-US" w:eastAsia="zh-CN"/>
        </w:rPr>
        <w:t>0</w:t>
      </w:r>
      <w:r>
        <w:rPr>
          <w:rFonts w:ascii="仿宋" w:hAnsi="仿宋" w:eastAsia="仿宋"/>
          <w:kern w:val="2"/>
          <w:sz w:val="32"/>
          <w:szCs w:val="32"/>
          <w:lang w:val="zh-CN"/>
        </w:rPr>
        <w:t>个国有资本经营预算项目支出开展绩效自评，共涉及资金</w:t>
      </w:r>
      <w:r>
        <w:rPr>
          <w:rFonts w:hint="eastAsia" w:ascii="仿宋" w:hAnsi="仿宋" w:eastAsia="仿宋"/>
          <w:kern w:val="2"/>
          <w:sz w:val="32"/>
          <w:szCs w:val="32"/>
          <w:lang w:val="en-US" w:eastAsia="zh-CN"/>
        </w:rPr>
        <w:t>0</w:t>
      </w:r>
      <w:r>
        <w:rPr>
          <w:rFonts w:ascii="仿宋" w:hAnsi="仿宋" w:eastAsia="仿宋"/>
          <w:kern w:val="2"/>
          <w:sz w:val="32"/>
          <w:szCs w:val="32"/>
          <w:lang w:val="zh-CN"/>
        </w:rPr>
        <w:t>万元，占国有资本经营预算项目支出总额的</w:t>
      </w:r>
      <w:r>
        <w:rPr>
          <w:rFonts w:hint="eastAsia" w:ascii="仿宋" w:hAnsi="仿宋" w:eastAsia="仿宋"/>
          <w:kern w:val="2"/>
          <w:sz w:val="32"/>
          <w:szCs w:val="32"/>
          <w:lang w:val="en-US" w:eastAsia="zh-CN"/>
        </w:rPr>
        <w:t>0</w:t>
      </w:r>
      <w:r>
        <w:rPr>
          <w:rFonts w:ascii="仿宋" w:hAnsi="仿宋" w:eastAsia="仿宋"/>
          <w:kern w:val="2"/>
          <w:sz w:val="32"/>
          <w:szCs w:val="32"/>
          <w:lang w:val="zh-CN"/>
        </w:rPr>
        <w:t>%。</w:t>
      </w:r>
    </w:p>
    <w:p w14:paraId="1B941D41">
      <w:pPr>
        <w:pStyle w:val="10"/>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组织对</w:t>
      </w:r>
      <w:r>
        <w:rPr>
          <w:rFonts w:hint="eastAsia" w:ascii="仿宋" w:hAnsi="仿宋" w:eastAsia="仿宋"/>
          <w:kern w:val="2"/>
          <w:sz w:val="32"/>
          <w:szCs w:val="32"/>
          <w:lang w:val="en-US" w:eastAsia="zh-CN"/>
        </w:rPr>
        <w:t>1、</w:t>
      </w:r>
      <w:r>
        <w:rPr>
          <w:rFonts w:ascii="仿宋" w:hAnsi="仿宋" w:eastAsia="仿宋"/>
          <w:kern w:val="2"/>
          <w:sz w:val="32"/>
          <w:szCs w:val="32"/>
          <w:lang w:val="zh-CN"/>
        </w:rPr>
        <w:t>“</w:t>
      </w:r>
      <w:r>
        <w:rPr>
          <w:rFonts w:hint="eastAsia" w:ascii="仿宋" w:hAnsi="仿宋" w:eastAsia="仿宋"/>
          <w:kern w:val="2"/>
          <w:sz w:val="32"/>
          <w:szCs w:val="32"/>
          <w:lang w:val="en-US" w:eastAsia="zh-CN"/>
        </w:rPr>
        <w:t>G102、山海关祖山连接线保洁</w:t>
      </w:r>
      <w:r>
        <w:rPr>
          <w:rFonts w:ascii="仿宋" w:hAnsi="仿宋" w:eastAsia="仿宋"/>
          <w:kern w:val="2"/>
          <w:sz w:val="32"/>
          <w:szCs w:val="32"/>
          <w:lang w:val="zh-CN"/>
        </w:rPr>
        <w:t>”</w:t>
      </w:r>
      <w:r>
        <w:rPr>
          <w:rFonts w:hint="eastAsia" w:ascii="仿宋" w:hAnsi="仿宋" w:eastAsia="仿宋"/>
          <w:kern w:val="2"/>
          <w:sz w:val="32"/>
          <w:szCs w:val="32"/>
          <w:lang w:val="en-US" w:eastAsia="zh-CN"/>
        </w:rPr>
        <w:t>2、</w:t>
      </w:r>
      <w:r>
        <w:rPr>
          <w:rFonts w:ascii="仿宋" w:hAnsi="仿宋" w:eastAsia="仿宋"/>
          <w:kern w:val="2"/>
          <w:sz w:val="32"/>
          <w:szCs w:val="32"/>
          <w:lang w:val="zh-CN"/>
        </w:rPr>
        <w:t>“</w:t>
      </w:r>
      <w:r>
        <w:rPr>
          <w:rFonts w:hint="eastAsia" w:ascii="仿宋" w:hAnsi="仿宋" w:eastAsia="仿宋"/>
          <w:kern w:val="2"/>
          <w:sz w:val="32"/>
          <w:szCs w:val="32"/>
          <w:lang w:val="en-US" w:eastAsia="zh-CN"/>
        </w:rPr>
        <w:t>保洁应急机械费</w:t>
      </w:r>
      <w:r>
        <w:rPr>
          <w:rFonts w:ascii="仿宋" w:hAnsi="仿宋" w:eastAsia="仿宋"/>
          <w:kern w:val="2"/>
          <w:sz w:val="32"/>
          <w:szCs w:val="32"/>
          <w:lang w:val="zh-CN"/>
        </w:rPr>
        <w:t>”</w:t>
      </w:r>
      <w:r>
        <w:rPr>
          <w:rFonts w:hint="eastAsia" w:ascii="仿宋" w:hAnsi="仿宋" w:eastAsia="仿宋"/>
          <w:kern w:val="2"/>
          <w:sz w:val="32"/>
          <w:szCs w:val="32"/>
          <w:lang w:val="en-US" w:eastAsia="zh-CN"/>
        </w:rPr>
        <w:t>3、</w:t>
      </w:r>
      <w:r>
        <w:rPr>
          <w:rFonts w:ascii="仿宋" w:hAnsi="仿宋" w:eastAsia="仿宋"/>
          <w:kern w:val="2"/>
          <w:sz w:val="32"/>
          <w:szCs w:val="32"/>
          <w:lang w:val="zh-CN"/>
        </w:rPr>
        <w:t>“</w:t>
      </w:r>
      <w:r>
        <w:rPr>
          <w:rFonts w:hint="eastAsia" w:ascii="仿宋" w:hAnsi="仿宋" w:eastAsia="仿宋"/>
          <w:kern w:val="2"/>
          <w:sz w:val="32"/>
          <w:szCs w:val="32"/>
          <w:lang w:val="en-US" w:eastAsia="zh-CN"/>
        </w:rPr>
        <w:t>见习人员工资</w:t>
      </w:r>
      <w:r>
        <w:rPr>
          <w:rFonts w:ascii="仿宋" w:hAnsi="仿宋" w:eastAsia="仿宋"/>
          <w:kern w:val="2"/>
          <w:sz w:val="32"/>
          <w:szCs w:val="32"/>
          <w:lang w:val="zh-CN"/>
        </w:rPr>
        <w:t>”</w:t>
      </w:r>
      <w:r>
        <w:rPr>
          <w:rFonts w:hint="eastAsia" w:ascii="仿宋" w:hAnsi="仿宋" w:eastAsia="仿宋"/>
          <w:kern w:val="2"/>
          <w:sz w:val="32"/>
          <w:szCs w:val="32"/>
          <w:lang w:val="en-US" w:eastAsia="zh-CN"/>
        </w:rPr>
        <w:t>4、“路产维修及养护材料购置”5、</w:t>
      </w:r>
      <w:r>
        <w:rPr>
          <w:rFonts w:ascii="仿宋" w:hAnsi="仿宋" w:eastAsia="仿宋"/>
          <w:kern w:val="2"/>
          <w:sz w:val="32"/>
          <w:szCs w:val="32"/>
          <w:lang w:val="zh-CN"/>
        </w:rPr>
        <w:t>“</w:t>
      </w:r>
      <w:r>
        <w:rPr>
          <w:rFonts w:hint="eastAsia" w:ascii="仿宋" w:hAnsi="仿宋" w:eastAsia="仿宋"/>
          <w:kern w:val="2"/>
          <w:sz w:val="32"/>
          <w:szCs w:val="32"/>
          <w:lang w:val="en-US" w:eastAsia="zh-CN"/>
        </w:rPr>
        <w:t>国省干线日常养护</w:t>
      </w:r>
      <w:r>
        <w:rPr>
          <w:rFonts w:ascii="仿宋" w:hAnsi="仿宋" w:eastAsia="仿宋"/>
          <w:kern w:val="2"/>
          <w:sz w:val="32"/>
          <w:szCs w:val="32"/>
          <w:lang w:val="zh-CN"/>
        </w:rPr>
        <w:t>”</w:t>
      </w:r>
      <w:r>
        <w:rPr>
          <w:rFonts w:hint="eastAsia" w:ascii="仿宋" w:hAnsi="仿宋" w:eastAsia="仿宋"/>
          <w:kern w:val="2"/>
          <w:sz w:val="32"/>
          <w:szCs w:val="32"/>
          <w:lang w:val="en-US" w:eastAsia="zh-CN"/>
        </w:rPr>
        <w:t>6、“暑期燃油费”7、“西外环扬州立交桥保洁”8、“兴凯湖保洁”9“养护设备维修”</w:t>
      </w:r>
      <w:r>
        <w:rPr>
          <w:rFonts w:ascii="仿宋" w:hAnsi="仿宋" w:eastAsia="仿宋"/>
          <w:kern w:val="2"/>
          <w:sz w:val="32"/>
          <w:szCs w:val="32"/>
          <w:lang w:val="zh-CN"/>
        </w:rPr>
        <w:t>等</w:t>
      </w:r>
      <w:r>
        <w:rPr>
          <w:rFonts w:hint="eastAsia" w:ascii="仿宋" w:hAnsi="仿宋" w:eastAsia="仿宋"/>
          <w:kern w:val="2"/>
          <w:sz w:val="32"/>
          <w:szCs w:val="32"/>
          <w:lang w:val="en-US" w:eastAsia="zh-CN"/>
        </w:rPr>
        <w:t>9</w:t>
      </w:r>
      <w:r>
        <w:rPr>
          <w:rFonts w:ascii="仿宋" w:hAnsi="仿宋" w:eastAsia="仿宋"/>
          <w:kern w:val="2"/>
          <w:sz w:val="32"/>
          <w:szCs w:val="32"/>
          <w:lang w:val="zh-CN"/>
        </w:rPr>
        <w:t>个项目开展了部门评价，涉及一般公共预算支出</w:t>
      </w:r>
      <w:r>
        <w:rPr>
          <w:rFonts w:hint="eastAsia" w:ascii="仿宋" w:hAnsi="仿宋" w:eastAsia="仿宋"/>
          <w:kern w:val="2"/>
          <w:sz w:val="32"/>
          <w:szCs w:val="32"/>
          <w:lang w:val="en-US" w:eastAsia="zh-CN"/>
        </w:rPr>
        <w:t>233.37</w:t>
      </w:r>
      <w:r>
        <w:rPr>
          <w:rFonts w:ascii="仿宋" w:hAnsi="仿宋" w:eastAsia="仿宋"/>
          <w:kern w:val="2"/>
          <w:sz w:val="32"/>
          <w:szCs w:val="32"/>
          <w:lang w:val="zh-CN"/>
        </w:rPr>
        <w:t>万元，政府性基金预算支出</w:t>
      </w:r>
      <w:r>
        <w:rPr>
          <w:rFonts w:hint="eastAsia" w:ascii="仿宋" w:hAnsi="仿宋" w:eastAsia="仿宋"/>
          <w:kern w:val="2"/>
          <w:sz w:val="32"/>
          <w:szCs w:val="32"/>
          <w:lang w:val="en-US" w:eastAsia="zh-CN"/>
        </w:rPr>
        <w:t>0</w:t>
      </w:r>
      <w:r>
        <w:rPr>
          <w:rFonts w:ascii="仿宋" w:hAnsi="仿宋" w:eastAsia="仿宋"/>
          <w:kern w:val="2"/>
          <w:sz w:val="32"/>
          <w:szCs w:val="32"/>
          <w:lang w:val="zh-CN"/>
        </w:rPr>
        <w:t>万元，国有资本经营预算支出</w:t>
      </w:r>
      <w:r>
        <w:rPr>
          <w:rFonts w:hint="eastAsia" w:ascii="仿宋" w:hAnsi="仿宋" w:eastAsia="仿宋"/>
          <w:kern w:val="2"/>
          <w:sz w:val="32"/>
          <w:szCs w:val="32"/>
          <w:lang w:val="en-US" w:eastAsia="zh-CN"/>
        </w:rPr>
        <w:t>0</w:t>
      </w:r>
      <w:r>
        <w:rPr>
          <w:rFonts w:ascii="仿宋" w:hAnsi="仿宋" w:eastAsia="仿宋"/>
          <w:kern w:val="2"/>
          <w:sz w:val="32"/>
          <w:szCs w:val="32"/>
          <w:lang w:val="zh-CN"/>
        </w:rPr>
        <w:t>万元。</w:t>
      </w:r>
    </w:p>
    <w:p w14:paraId="1C32F6A5">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（二）部门决算中项目绩效自评结果（如有）</w:t>
      </w:r>
    </w:p>
    <w:p w14:paraId="6A2CDBF9">
      <w:pPr>
        <w:pStyle w:val="10"/>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 xml:space="preserve">本单位在今年部门决算公开中反映 </w:t>
      </w:r>
      <w:r>
        <w:rPr>
          <w:rFonts w:hint="eastAsia" w:ascii="仿宋" w:hAnsi="仿宋" w:eastAsia="仿宋"/>
          <w:kern w:val="2"/>
          <w:sz w:val="32"/>
          <w:szCs w:val="32"/>
          <w:lang w:val="en-US" w:eastAsia="zh-CN"/>
        </w:rPr>
        <w:t>二级</w:t>
      </w:r>
      <w:r>
        <w:rPr>
          <w:rFonts w:ascii="仿宋" w:hAnsi="仿宋" w:eastAsia="仿宋"/>
          <w:kern w:val="2"/>
          <w:sz w:val="32"/>
          <w:szCs w:val="32"/>
          <w:lang w:val="zh-CN"/>
        </w:rPr>
        <w:t>项目等</w:t>
      </w:r>
      <w:r>
        <w:rPr>
          <w:rFonts w:hint="eastAsia" w:ascii="仿宋" w:hAnsi="仿宋" w:eastAsia="仿宋"/>
          <w:kern w:val="2"/>
          <w:sz w:val="32"/>
          <w:szCs w:val="32"/>
          <w:lang w:val="en-US" w:eastAsia="zh-CN"/>
        </w:rPr>
        <w:t>9</w:t>
      </w:r>
      <w:r>
        <w:rPr>
          <w:rFonts w:ascii="仿宋" w:hAnsi="仿宋" w:eastAsia="仿宋"/>
          <w:kern w:val="2"/>
          <w:sz w:val="32"/>
          <w:szCs w:val="32"/>
          <w:lang w:val="zh-CN"/>
        </w:rPr>
        <w:t>个项目绩效自评结果。</w:t>
      </w:r>
    </w:p>
    <w:p w14:paraId="6E0B0980">
      <w:pPr>
        <w:snapToGrid w:val="0"/>
        <w:spacing w:after="0" w:line="360" w:lineRule="auto"/>
        <w:ind w:firstLine="200"/>
        <w:rPr>
          <w:rFonts w:ascii="仿宋" w:hAnsi="仿宋" w:eastAsia="仿宋" w:cs="Times New Roman"/>
          <w:sz w:val="32"/>
          <w:szCs w:val="32"/>
          <w:highlight w:val="none"/>
        </w:rPr>
      </w:pPr>
      <w:r>
        <w:rPr>
          <w:rFonts w:ascii="仿宋" w:hAnsi="仿宋" w:eastAsia="仿宋" w:cs="Times New Roman"/>
          <w:sz w:val="32"/>
          <w:szCs w:val="32"/>
          <w:highlight w:val="none"/>
        </w:rPr>
        <w:t>附项目支出绩效自评表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2284"/>
        <w:gridCol w:w="1035"/>
        <w:gridCol w:w="2730"/>
        <w:gridCol w:w="725"/>
        <w:gridCol w:w="705"/>
      </w:tblGrid>
      <w:tr w14:paraId="37DF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043" w:type="dxa"/>
          </w:tcPr>
          <w:p w14:paraId="43FCB498">
            <w:pPr>
              <w:snapToGrid w:val="0"/>
              <w:spacing w:after="0" w:line="360" w:lineRule="auto"/>
              <w:jc w:val="center"/>
              <w:rPr>
                <w:rFonts w:hint="eastAsia" w:ascii="仿宋" w:hAnsi="仿宋" w:eastAsia="仿宋" w:cs="Times New Roman"/>
                <w:sz w:val="32"/>
                <w:szCs w:val="32"/>
                <w:highlight w:val="none"/>
                <w:vertAlign w:val="baseline"/>
              </w:rPr>
            </w:pPr>
            <w:r>
              <w:rPr>
                <w:rFonts w:hint="eastAsia" w:ascii="仿宋" w:hAnsi="仿宋" w:eastAsia="仿宋" w:cs="Times New Roman"/>
                <w:sz w:val="24"/>
                <w:szCs w:val="24"/>
                <w:highlight w:val="none"/>
                <w:vertAlign w:val="baseline"/>
                <w:lang w:val="en-US" w:eastAsia="zh-CN"/>
              </w:rPr>
              <w:t>序号</w:t>
            </w:r>
          </w:p>
        </w:tc>
        <w:tc>
          <w:tcPr>
            <w:tcW w:w="2284" w:type="dxa"/>
          </w:tcPr>
          <w:p w14:paraId="1D518C94">
            <w:pPr>
              <w:snapToGrid w:val="0"/>
              <w:spacing w:after="0" w:line="360" w:lineRule="auto"/>
              <w:jc w:val="center"/>
              <w:rPr>
                <w:rFonts w:hint="eastAsia" w:ascii="仿宋" w:hAnsi="仿宋" w:eastAsia="仿宋" w:cs="Times New Roman"/>
                <w:sz w:val="32"/>
                <w:szCs w:val="32"/>
                <w:highlight w:val="none"/>
                <w:vertAlign w:val="baseline"/>
              </w:rPr>
            </w:pPr>
            <w:r>
              <w:rPr>
                <w:rFonts w:hint="eastAsia" w:ascii="仿宋" w:hAnsi="仿宋" w:eastAsia="仿宋" w:cs="Times New Roman"/>
                <w:sz w:val="24"/>
                <w:szCs w:val="24"/>
                <w:highlight w:val="none"/>
                <w:vertAlign w:val="baseline"/>
                <w:lang w:val="en-US" w:eastAsia="zh-CN"/>
              </w:rPr>
              <w:t>名称</w:t>
            </w:r>
          </w:p>
        </w:tc>
        <w:tc>
          <w:tcPr>
            <w:tcW w:w="1035" w:type="dxa"/>
          </w:tcPr>
          <w:p w14:paraId="68D08A07">
            <w:pPr>
              <w:snapToGrid w:val="0"/>
              <w:spacing w:after="0" w:line="360" w:lineRule="auto"/>
              <w:jc w:val="center"/>
              <w:rPr>
                <w:rFonts w:hint="eastAsia" w:ascii="仿宋" w:hAnsi="仿宋" w:eastAsia="仿宋" w:cs="Times New Roman"/>
                <w:sz w:val="32"/>
                <w:szCs w:val="32"/>
                <w:highlight w:val="none"/>
                <w:vertAlign w:val="baseline"/>
              </w:rPr>
            </w:pPr>
            <w:r>
              <w:rPr>
                <w:rFonts w:hint="eastAsia" w:ascii="仿宋" w:hAnsi="仿宋" w:eastAsia="仿宋" w:cs="Times New Roman"/>
                <w:sz w:val="24"/>
                <w:szCs w:val="24"/>
                <w:highlight w:val="none"/>
                <w:vertAlign w:val="baseline"/>
                <w:lang w:val="en-US" w:eastAsia="zh-CN"/>
              </w:rPr>
              <w:t>预算数</w:t>
            </w:r>
          </w:p>
        </w:tc>
        <w:tc>
          <w:tcPr>
            <w:tcW w:w="2730" w:type="dxa"/>
          </w:tcPr>
          <w:p w14:paraId="5FF5936E">
            <w:pPr>
              <w:snapToGrid w:val="0"/>
              <w:spacing w:after="0" w:line="360" w:lineRule="auto"/>
              <w:jc w:val="center"/>
              <w:rPr>
                <w:rFonts w:hint="eastAsia" w:ascii="仿宋" w:hAnsi="仿宋" w:eastAsia="仿宋" w:cs="Times New Roman"/>
                <w:sz w:val="32"/>
                <w:szCs w:val="32"/>
                <w:highlight w:val="none"/>
                <w:vertAlign w:val="baseline"/>
              </w:rPr>
            </w:pPr>
            <w:r>
              <w:rPr>
                <w:rFonts w:hint="eastAsia" w:ascii="仿宋" w:hAnsi="仿宋" w:eastAsia="仿宋" w:cs="Times New Roman"/>
                <w:sz w:val="24"/>
                <w:szCs w:val="24"/>
                <w:highlight w:val="none"/>
                <w:vertAlign w:val="baseline"/>
                <w:lang w:val="en-US" w:eastAsia="zh-CN"/>
              </w:rPr>
              <w:t>预算单位</w:t>
            </w:r>
          </w:p>
        </w:tc>
        <w:tc>
          <w:tcPr>
            <w:tcW w:w="725" w:type="dxa"/>
          </w:tcPr>
          <w:p w14:paraId="4BA7E5CA">
            <w:pPr>
              <w:snapToGrid w:val="0"/>
              <w:spacing w:after="0" w:line="360" w:lineRule="auto"/>
              <w:jc w:val="center"/>
              <w:rPr>
                <w:rFonts w:hint="eastAsia" w:ascii="仿宋" w:hAnsi="仿宋" w:eastAsia="仿宋" w:cs="Times New Roman"/>
                <w:sz w:val="24"/>
                <w:szCs w:val="24"/>
                <w:highlight w:val="none"/>
                <w:vertAlign w:val="baseline"/>
                <w:lang w:val="en-US" w:eastAsia="zh-CN"/>
              </w:rPr>
            </w:pPr>
            <w:r>
              <w:rPr>
                <w:rFonts w:hint="eastAsia" w:ascii="仿宋" w:hAnsi="仿宋" w:eastAsia="仿宋" w:cs="Times New Roman"/>
                <w:sz w:val="24"/>
                <w:szCs w:val="24"/>
                <w:highlight w:val="none"/>
                <w:vertAlign w:val="baseline"/>
                <w:lang w:val="en-US" w:eastAsia="zh-CN"/>
              </w:rPr>
              <w:t>自评</w:t>
            </w:r>
          </w:p>
          <w:p w14:paraId="3C4B0C1F">
            <w:pPr>
              <w:snapToGrid w:val="0"/>
              <w:spacing w:after="0" w:line="360" w:lineRule="auto"/>
              <w:jc w:val="center"/>
              <w:rPr>
                <w:rFonts w:hint="eastAsia" w:ascii="仿宋" w:hAnsi="仿宋" w:eastAsia="仿宋" w:cs="Times New Roman"/>
                <w:sz w:val="32"/>
                <w:szCs w:val="32"/>
                <w:highlight w:val="none"/>
                <w:vertAlign w:val="baseline"/>
              </w:rPr>
            </w:pPr>
            <w:r>
              <w:rPr>
                <w:rFonts w:hint="eastAsia" w:ascii="仿宋" w:hAnsi="仿宋" w:eastAsia="仿宋" w:cs="Times New Roman"/>
                <w:sz w:val="24"/>
                <w:szCs w:val="24"/>
                <w:highlight w:val="none"/>
                <w:vertAlign w:val="baseline"/>
                <w:lang w:val="en-US" w:eastAsia="zh-CN"/>
              </w:rPr>
              <w:t>得分</w:t>
            </w:r>
          </w:p>
        </w:tc>
        <w:tc>
          <w:tcPr>
            <w:tcW w:w="705" w:type="dxa"/>
          </w:tcPr>
          <w:p w14:paraId="626EE61E">
            <w:pPr>
              <w:snapToGrid w:val="0"/>
              <w:spacing w:after="0" w:line="360" w:lineRule="auto"/>
              <w:jc w:val="center"/>
              <w:rPr>
                <w:rFonts w:hint="eastAsia" w:ascii="仿宋" w:hAnsi="仿宋" w:eastAsia="仿宋" w:cs="Times New Roman"/>
                <w:sz w:val="32"/>
                <w:szCs w:val="32"/>
                <w:highlight w:val="none"/>
                <w:vertAlign w:val="baseline"/>
              </w:rPr>
            </w:pPr>
            <w:r>
              <w:rPr>
                <w:rFonts w:hint="eastAsia" w:ascii="仿宋" w:hAnsi="仿宋" w:eastAsia="仿宋" w:cs="Times New Roman"/>
                <w:sz w:val="24"/>
                <w:szCs w:val="24"/>
                <w:highlight w:val="none"/>
                <w:vertAlign w:val="baseline"/>
                <w:lang w:val="en-US" w:eastAsia="zh-CN"/>
              </w:rPr>
              <w:t>自评结果</w:t>
            </w:r>
          </w:p>
        </w:tc>
      </w:tr>
      <w:tr w14:paraId="763A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043" w:type="dxa"/>
            <w:vAlign w:val="center"/>
          </w:tcPr>
          <w:p w14:paraId="5EFF636E">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1</w:t>
            </w:r>
          </w:p>
        </w:tc>
        <w:tc>
          <w:tcPr>
            <w:tcW w:w="2284" w:type="dxa"/>
            <w:vAlign w:val="center"/>
          </w:tcPr>
          <w:p w14:paraId="3D8EEA4C">
            <w:pPr>
              <w:keepNext w:val="0"/>
              <w:keepLines w:val="0"/>
              <w:widowControl/>
              <w:suppressLineNumbers w:val="0"/>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kern w:val="2"/>
                <w:sz w:val="21"/>
                <w:szCs w:val="21"/>
                <w:highlight w:val="none"/>
                <w:lang w:val="en-US" w:eastAsia="zh-CN"/>
              </w:rPr>
              <w:t>G102、山海关祖山连接线保洁</w:t>
            </w:r>
          </w:p>
        </w:tc>
        <w:tc>
          <w:tcPr>
            <w:tcW w:w="1035" w:type="dxa"/>
            <w:vAlign w:val="center"/>
          </w:tcPr>
          <w:p w14:paraId="3C16201A">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167.94</w:t>
            </w:r>
          </w:p>
        </w:tc>
        <w:tc>
          <w:tcPr>
            <w:tcW w:w="2730" w:type="dxa"/>
            <w:vAlign w:val="center"/>
          </w:tcPr>
          <w:p w14:paraId="7F5F72B5">
            <w:pPr>
              <w:keepNext w:val="0"/>
              <w:keepLines w:val="0"/>
              <w:widowControl/>
              <w:suppressLineNumbers w:val="0"/>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59F887B1">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95</w:t>
            </w:r>
          </w:p>
        </w:tc>
        <w:tc>
          <w:tcPr>
            <w:tcW w:w="705" w:type="dxa"/>
            <w:vAlign w:val="center"/>
          </w:tcPr>
          <w:p w14:paraId="3FFDB839">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优</w:t>
            </w:r>
          </w:p>
        </w:tc>
      </w:tr>
      <w:tr w14:paraId="193E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043" w:type="dxa"/>
            <w:tcBorders>
              <w:top w:val="single" w:color="000000" w:sz="4" w:space="0"/>
              <w:left w:val="single" w:color="auto" w:sz="4" w:space="0"/>
              <w:bottom w:val="nil"/>
              <w:right w:val="single" w:color="auto" w:sz="4" w:space="0"/>
              <w:tl2br w:val="nil"/>
            </w:tcBorders>
            <w:shd w:val="clear" w:color="auto" w:fill="FFFFFF"/>
            <w:vAlign w:val="center"/>
          </w:tcPr>
          <w:p w14:paraId="0D0F3D21">
            <w:pPr>
              <w:snapToGrid w:val="0"/>
              <w:spacing w:after="0" w:line="360" w:lineRule="auto"/>
              <w:jc w:val="center"/>
              <w:rPr>
                <w:rFonts w:hint="eastAsia" w:ascii="仿宋" w:hAnsi="仿宋" w:eastAsia="仿宋" w:cs="Times New Roman"/>
                <w:b w:val="0"/>
                <w:color w:val="000000"/>
                <w:sz w:val="21"/>
                <w:szCs w:val="21"/>
                <w:highlight w:val="none"/>
                <w:vertAlign w:val="baseline"/>
                <w:lang w:val="en-US" w:eastAsia="zh-CN"/>
              </w:rPr>
            </w:pPr>
            <w:r>
              <w:rPr>
                <w:rFonts w:hint="eastAsia" w:ascii="仿宋" w:hAnsi="仿宋" w:eastAsia="仿宋" w:cs="Times New Roman"/>
                <w:b w:val="0"/>
                <w:color w:val="000000"/>
                <w:sz w:val="21"/>
                <w:szCs w:val="21"/>
                <w:highlight w:val="none"/>
                <w:vertAlign w:val="baseline"/>
                <w:lang w:val="en-US" w:eastAsia="zh-CN"/>
              </w:rPr>
              <w:t>2</w:t>
            </w:r>
          </w:p>
        </w:tc>
        <w:tc>
          <w:tcPr>
            <w:tcW w:w="2284" w:type="dxa"/>
            <w:tcBorders>
              <w:top w:val="single" w:color="000000" w:sz="4" w:space="0"/>
              <w:left w:val="single" w:color="auto" w:sz="4" w:space="0"/>
              <w:bottom w:val="nil"/>
              <w:right w:val="single" w:color="auto" w:sz="4" w:space="0"/>
            </w:tcBorders>
            <w:shd w:val="clear" w:color="auto" w:fill="FFFFFF"/>
            <w:vAlign w:val="center"/>
          </w:tcPr>
          <w:p w14:paraId="7A354708">
            <w:pPr>
              <w:snapToGrid w:val="0"/>
              <w:spacing w:after="0" w:line="360" w:lineRule="auto"/>
              <w:jc w:val="center"/>
              <w:rPr>
                <w:rFonts w:hint="eastAsia" w:ascii="仿宋" w:hAnsi="仿宋" w:eastAsia="仿宋" w:cs="Times New Roman"/>
                <w:b w:val="0"/>
                <w:color w:val="000000"/>
                <w:sz w:val="21"/>
                <w:szCs w:val="21"/>
                <w:highlight w:val="none"/>
                <w:vertAlign w:val="baseline"/>
              </w:rPr>
            </w:pPr>
            <w:r>
              <w:rPr>
                <w:rFonts w:hint="eastAsia" w:ascii="仿宋" w:hAnsi="仿宋" w:eastAsia="仿宋"/>
                <w:b w:val="0"/>
                <w:color w:val="000000"/>
                <w:kern w:val="2"/>
                <w:sz w:val="21"/>
                <w:szCs w:val="21"/>
                <w:highlight w:val="none"/>
                <w:lang w:val="en-US" w:eastAsia="zh-CN"/>
              </w:rPr>
              <w:t>保洁应急机械费</w:t>
            </w:r>
          </w:p>
        </w:tc>
        <w:tc>
          <w:tcPr>
            <w:tcW w:w="1035" w:type="dxa"/>
            <w:tcBorders>
              <w:top w:val="single" w:color="000000" w:sz="4" w:space="0"/>
              <w:left w:val="single" w:color="auto" w:sz="4" w:space="0"/>
              <w:bottom w:val="nil"/>
              <w:right w:val="single" w:color="auto" w:sz="4" w:space="0"/>
            </w:tcBorders>
            <w:shd w:val="clear" w:color="auto" w:fill="FFFFFF"/>
            <w:vAlign w:val="center"/>
          </w:tcPr>
          <w:p w14:paraId="5E185CCC">
            <w:pPr>
              <w:snapToGrid w:val="0"/>
              <w:spacing w:after="0" w:line="360" w:lineRule="auto"/>
              <w:jc w:val="center"/>
              <w:rPr>
                <w:rFonts w:hint="eastAsia" w:ascii="仿宋" w:hAnsi="仿宋" w:eastAsia="仿宋" w:cs="Times New Roman"/>
                <w:b w:val="0"/>
                <w:color w:val="000000"/>
                <w:sz w:val="21"/>
                <w:szCs w:val="21"/>
                <w:highlight w:val="none"/>
                <w:vertAlign w:val="baseline"/>
                <w:lang w:val="en-US" w:eastAsia="zh-CN"/>
              </w:rPr>
            </w:pPr>
            <w:r>
              <w:rPr>
                <w:rFonts w:hint="eastAsia" w:ascii="仿宋" w:hAnsi="仿宋" w:eastAsia="仿宋" w:cs="Times New Roman"/>
                <w:b w:val="0"/>
                <w:color w:val="000000"/>
                <w:sz w:val="21"/>
                <w:szCs w:val="21"/>
                <w:highlight w:val="none"/>
                <w:vertAlign w:val="baseline"/>
                <w:lang w:val="en-US" w:eastAsia="zh-CN"/>
              </w:rPr>
              <w:t>2</w:t>
            </w:r>
          </w:p>
        </w:tc>
        <w:tc>
          <w:tcPr>
            <w:tcW w:w="2730" w:type="dxa"/>
            <w:tcBorders>
              <w:top w:val="single" w:color="000000" w:sz="4" w:space="0"/>
              <w:left w:val="single" w:color="auto" w:sz="4" w:space="0"/>
              <w:bottom w:val="nil"/>
              <w:right w:val="single" w:color="auto" w:sz="4" w:space="0"/>
            </w:tcBorders>
            <w:shd w:val="clear" w:color="auto" w:fill="FFFFFF"/>
            <w:vAlign w:val="center"/>
          </w:tcPr>
          <w:p w14:paraId="568C7E65">
            <w:pPr>
              <w:snapToGrid w:val="0"/>
              <w:spacing w:after="0" w:line="360" w:lineRule="auto"/>
              <w:jc w:val="center"/>
              <w:rPr>
                <w:rFonts w:hint="eastAsia" w:ascii="仿宋" w:hAnsi="仿宋" w:eastAsia="仿宋" w:cs="Times New Roman"/>
                <w:b w:val="0"/>
                <w:color w:val="000000"/>
                <w:sz w:val="21"/>
                <w:szCs w:val="21"/>
                <w:highlight w:val="none"/>
                <w:vertAlign w:val="baseline"/>
              </w:rPr>
            </w:pPr>
            <w:r>
              <w:rPr>
                <w:rFonts w:hint="eastAsia" w:ascii="仿宋" w:hAnsi="仿宋" w:eastAsia="仿宋" w:cs="仿宋"/>
                <w:b w:val="0"/>
                <w:color w:val="000000"/>
                <w:kern w:val="0"/>
                <w:sz w:val="21"/>
                <w:szCs w:val="21"/>
                <w:highlight w:val="none"/>
                <w:lang w:val="en-US" w:eastAsia="zh-CN" w:bidi="ar"/>
              </w:rPr>
              <w:t>秦皇岛经济技术开发区交通运输局公路管理站</w:t>
            </w:r>
          </w:p>
        </w:tc>
        <w:tc>
          <w:tcPr>
            <w:tcW w:w="725" w:type="dxa"/>
            <w:tcBorders>
              <w:top w:val="single" w:color="000000" w:sz="4" w:space="0"/>
              <w:left w:val="single" w:color="auto" w:sz="4" w:space="0"/>
              <w:bottom w:val="nil"/>
              <w:right w:val="single" w:color="auto" w:sz="4" w:space="0"/>
            </w:tcBorders>
            <w:shd w:val="clear" w:color="auto" w:fill="FFFFFF"/>
            <w:vAlign w:val="center"/>
          </w:tcPr>
          <w:p w14:paraId="5A733101">
            <w:pPr>
              <w:snapToGrid w:val="0"/>
              <w:spacing w:after="0" w:line="360" w:lineRule="auto"/>
              <w:jc w:val="center"/>
              <w:rPr>
                <w:rFonts w:hint="default" w:ascii="仿宋" w:hAnsi="仿宋" w:eastAsia="仿宋" w:cs="Times New Roman"/>
                <w:b w:val="0"/>
                <w:color w:val="000000"/>
                <w:sz w:val="21"/>
                <w:szCs w:val="21"/>
                <w:highlight w:val="none"/>
                <w:vertAlign w:val="baseline"/>
                <w:lang w:val="en-US" w:eastAsia="zh-CN"/>
              </w:rPr>
            </w:pPr>
            <w:r>
              <w:rPr>
                <w:rFonts w:hint="eastAsia" w:ascii="仿宋" w:hAnsi="仿宋" w:eastAsia="仿宋" w:cs="Times New Roman"/>
                <w:b w:val="0"/>
                <w:color w:val="000000"/>
                <w:sz w:val="21"/>
                <w:szCs w:val="21"/>
                <w:highlight w:val="none"/>
                <w:vertAlign w:val="baseline"/>
                <w:lang w:val="en-US" w:eastAsia="zh-CN"/>
              </w:rPr>
              <w:t>96</w:t>
            </w:r>
          </w:p>
        </w:tc>
        <w:tc>
          <w:tcPr>
            <w:tcW w:w="705" w:type="dxa"/>
            <w:tcBorders>
              <w:top w:val="single" w:color="000000" w:sz="4" w:space="0"/>
              <w:left w:val="single" w:color="auto" w:sz="4" w:space="0"/>
              <w:bottom w:val="nil"/>
              <w:right w:val="single" w:color="auto" w:sz="4" w:space="0"/>
            </w:tcBorders>
            <w:shd w:val="clear" w:color="auto" w:fill="FFFFFF"/>
            <w:vAlign w:val="center"/>
          </w:tcPr>
          <w:p w14:paraId="6BAFC0E9">
            <w:pPr>
              <w:snapToGrid w:val="0"/>
              <w:spacing w:after="0" w:line="360" w:lineRule="auto"/>
              <w:jc w:val="center"/>
              <w:rPr>
                <w:rFonts w:hint="eastAsia" w:ascii="仿宋" w:hAnsi="仿宋" w:eastAsia="仿宋" w:cs="Times New Roman"/>
                <w:b w:val="0"/>
                <w:color w:val="000000"/>
                <w:sz w:val="21"/>
                <w:szCs w:val="21"/>
                <w:highlight w:val="none"/>
                <w:vertAlign w:val="baseline"/>
              </w:rPr>
            </w:pPr>
            <w:r>
              <w:rPr>
                <w:rFonts w:hint="eastAsia" w:ascii="仿宋" w:hAnsi="仿宋" w:eastAsia="仿宋" w:cs="Times New Roman"/>
                <w:b w:val="0"/>
                <w:color w:val="000000"/>
                <w:sz w:val="21"/>
                <w:szCs w:val="21"/>
                <w:highlight w:val="none"/>
                <w:vertAlign w:val="baseline"/>
                <w:lang w:val="en-US" w:eastAsia="zh-CN"/>
              </w:rPr>
              <w:t>优</w:t>
            </w:r>
          </w:p>
        </w:tc>
      </w:tr>
      <w:tr w14:paraId="1DBC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06C46784">
            <w:pPr>
              <w:snapToGrid w:val="0"/>
              <w:spacing w:after="0" w:line="360" w:lineRule="auto"/>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3</w:t>
            </w:r>
          </w:p>
        </w:tc>
        <w:tc>
          <w:tcPr>
            <w:tcW w:w="2284" w:type="dxa"/>
            <w:vAlign w:val="center"/>
          </w:tcPr>
          <w:p w14:paraId="6ECE3747">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kern w:val="2"/>
                <w:sz w:val="21"/>
                <w:szCs w:val="21"/>
                <w:highlight w:val="none"/>
                <w:lang w:val="en-US" w:eastAsia="zh-CN"/>
              </w:rPr>
              <w:t>见习人员工资</w:t>
            </w:r>
          </w:p>
        </w:tc>
        <w:tc>
          <w:tcPr>
            <w:tcW w:w="1035" w:type="dxa"/>
            <w:vAlign w:val="center"/>
          </w:tcPr>
          <w:p w14:paraId="53FBCD6F">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0.34</w:t>
            </w:r>
          </w:p>
        </w:tc>
        <w:tc>
          <w:tcPr>
            <w:tcW w:w="2730" w:type="dxa"/>
            <w:vAlign w:val="center"/>
          </w:tcPr>
          <w:p w14:paraId="4F501F41">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14710B6B">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98</w:t>
            </w:r>
          </w:p>
        </w:tc>
        <w:tc>
          <w:tcPr>
            <w:tcW w:w="705" w:type="dxa"/>
            <w:vAlign w:val="center"/>
          </w:tcPr>
          <w:p w14:paraId="1A8F8E76">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Times New Roman"/>
                <w:sz w:val="21"/>
                <w:szCs w:val="21"/>
                <w:highlight w:val="none"/>
                <w:vertAlign w:val="baseline"/>
                <w:lang w:val="en-US" w:eastAsia="zh-CN"/>
              </w:rPr>
              <w:t>优</w:t>
            </w:r>
          </w:p>
        </w:tc>
      </w:tr>
      <w:tr w14:paraId="0CE2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00CD0ABB">
            <w:pPr>
              <w:snapToGrid w:val="0"/>
              <w:spacing w:after="0" w:line="360" w:lineRule="auto"/>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4</w:t>
            </w:r>
          </w:p>
        </w:tc>
        <w:tc>
          <w:tcPr>
            <w:tcW w:w="2284" w:type="dxa"/>
            <w:vAlign w:val="center"/>
          </w:tcPr>
          <w:p w14:paraId="1ADB9663">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kern w:val="2"/>
                <w:sz w:val="21"/>
                <w:szCs w:val="21"/>
                <w:highlight w:val="none"/>
                <w:lang w:val="en-US" w:eastAsia="zh-CN"/>
              </w:rPr>
              <w:t>路产维修及养护材料购置</w:t>
            </w:r>
          </w:p>
        </w:tc>
        <w:tc>
          <w:tcPr>
            <w:tcW w:w="1035" w:type="dxa"/>
            <w:vAlign w:val="center"/>
          </w:tcPr>
          <w:p w14:paraId="6227FF0A">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3.3</w:t>
            </w:r>
          </w:p>
        </w:tc>
        <w:tc>
          <w:tcPr>
            <w:tcW w:w="2730" w:type="dxa"/>
            <w:vAlign w:val="center"/>
          </w:tcPr>
          <w:p w14:paraId="25A492BE">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14960293">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98</w:t>
            </w:r>
          </w:p>
        </w:tc>
        <w:tc>
          <w:tcPr>
            <w:tcW w:w="705" w:type="dxa"/>
            <w:vAlign w:val="center"/>
          </w:tcPr>
          <w:p w14:paraId="794D8C05">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Times New Roman"/>
                <w:sz w:val="21"/>
                <w:szCs w:val="21"/>
                <w:highlight w:val="none"/>
                <w:vertAlign w:val="baseline"/>
                <w:lang w:val="en-US" w:eastAsia="zh-CN"/>
              </w:rPr>
              <w:t>优</w:t>
            </w:r>
          </w:p>
        </w:tc>
      </w:tr>
      <w:tr w14:paraId="2355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662C8CBE">
            <w:pPr>
              <w:snapToGrid w:val="0"/>
              <w:spacing w:after="0" w:line="360" w:lineRule="auto"/>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5</w:t>
            </w:r>
          </w:p>
        </w:tc>
        <w:tc>
          <w:tcPr>
            <w:tcW w:w="2284" w:type="dxa"/>
            <w:vAlign w:val="center"/>
          </w:tcPr>
          <w:p w14:paraId="52122790">
            <w:pPr>
              <w:snapToGrid w:val="0"/>
              <w:spacing w:after="0" w:line="360" w:lineRule="auto"/>
              <w:jc w:val="center"/>
              <w:rPr>
                <w:rFonts w:hint="default" w:ascii="仿宋" w:hAnsi="仿宋" w:eastAsia="仿宋" w:cs="Times New Roman"/>
                <w:sz w:val="21"/>
                <w:szCs w:val="21"/>
                <w:highlight w:val="none"/>
                <w:vertAlign w:val="baseline"/>
                <w:lang w:val="en-US"/>
              </w:rPr>
            </w:pPr>
            <w:r>
              <w:rPr>
                <w:rFonts w:hint="eastAsia" w:ascii="仿宋" w:hAnsi="仿宋" w:eastAsia="仿宋"/>
                <w:kern w:val="2"/>
                <w:sz w:val="21"/>
                <w:szCs w:val="21"/>
                <w:highlight w:val="none"/>
                <w:lang w:val="en-US" w:eastAsia="zh-CN"/>
              </w:rPr>
              <w:t>国省干线补贴</w:t>
            </w:r>
          </w:p>
        </w:tc>
        <w:tc>
          <w:tcPr>
            <w:tcW w:w="1035" w:type="dxa"/>
            <w:vAlign w:val="center"/>
          </w:tcPr>
          <w:p w14:paraId="64AC8172">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4.79</w:t>
            </w:r>
          </w:p>
        </w:tc>
        <w:tc>
          <w:tcPr>
            <w:tcW w:w="2730" w:type="dxa"/>
            <w:vAlign w:val="center"/>
          </w:tcPr>
          <w:p w14:paraId="1677CABF">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39F2ED5F">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95</w:t>
            </w:r>
          </w:p>
        </w:tc>
        <w:tc>
          <w:tcPr>
            <w:tcW w:w="705" w:type="dxa"/>
            <w:vAlign w:val="center"/>
          </w:tcPr>
          <w:p w14:paraId="60D80C21">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Times New Roman"/>
                <w:sz w:val="21"/>
                <w:szCs w:val="21"/>
                <w:highlight w:val="none"/>
                <w:vertAlign w:val="baseline"/>
                <w:lang w:val="en-US" w:eastAsia="zh-CN"/>
              </w:rPr>
              <w:t>优</w:t>
            </w:r>
          </w:p>
        </w:tc>
      </w:tr>
      <w:tr w14:paraId="6B91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39E6D60F">
            <w:pPr>
              <w:snapToGrid w:val="0"/>
              <w:spacing w:after="0" w:line="360" w:lineRule="auto"/>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6</w:t>
            </w:r>
          </w:p>
        </w:tc>
        <w:tc>
          <w:tcPr>
            <w:tcW w:w="2284" w:type="dxa"/>
            <w:vAlign w:val="center"/>
          </w:tcPr>
          <w:p w14:paraId="201807BA">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kern w:val="2"/>
                <w:sz w:val="21"/>
                <w:szCs w:val="21"/>
                <w:highlight w:val="none"/>
                <w:lang w:val="en-US" w:eastAsia="zh-CN"/>
              </w:rPr>
              <w:t>暑期燃油费</w:t>
            </w:r>
          </w:p>
        </w:tc>
        <w:tc>
          <w:tcPr>
            <w:tcW w:w="1035" w:type="dxa"/>
            <w:vAlign w:val="center"/>
          </w:tcPr>
          <w:p w14:paraId="5BC8C7A3">
            <w:pPr>
              <w:snapToGrid w:val="0"/>
              <w:spacing w:after="0" w:line="360" w:lineRule="auto"/>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1</w:t>
            </w:r>
          </w:p>
        </w:tc>
        <w:tc>
          <w:tcPr>
            <w:tcW w:w="2730" w:type="dxa"/>
            <w:vAlign w:val="center"/>
          </w:tcPr>
          <w:p w14:paraId="02863982">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6476B612">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98</w:t>
            </w:r>
          </w:p>
        </w:tc>
        <w:tc>
          <w:tcPr>
            <w:tcW w:w="705" w:type="dxa"/>
            <w:vAlign w:val="center"/>
          </w:tcPr>
          <w:p w14:paraId="38BD6BD0">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Times New Roman"/>
                <w:sz w:val="21"/>
                <w:szCs w:val="21"/>
                <w:highlight w:val="none"/>
                <w:vertAlign w:val="baseline"/>
                <w:lang w:val="en-US" w:eastAsia="zh-CN"/>
              </w:rPr>
              <w:t>优</w:t>
            </w:r>
          </w:p>
        </w:tc>
      </w:tr>
      <w:tr w14:paraId="099C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203ABBA8">
            <w:pPr>
              <w:snapToGrid w:val="0"/>
              <w:spacing w:after="0" w:line="360" w:lineRule="auto"/>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7</w:t>
            </w:r>
          </w:p>
        </w:tc>
        <w:tc>
          <w:tcPr>
            <w:tcW w:w="2284" w:type="dxa"/>
            <w:vAlign w:val="center"/>
          </w:tcPr>
          <w:p w14:paraId="5762A976">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kern w:val="2"/>
                <w:sz w:val="21"/>
                <w:szCs w:val="21"/>
                <w:highlight w:val="none"/>
                <w:lang w:val="en-US" w:eastAsia="zh-CN"/>
              </w:rPr>
              <w:t>西外环扬州立交桥保洁</w:t>
            </w:r>
          </w:p>
        </w:tc>
        <w:tc>
          <w:tcPr>
            <w:tcW w:w="1035" w:type="dxa"/>
            <w:vAlign w:val="center"/>
          </w:tcPr>
          <w:p w14:paraId="4FF1C0BF">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36</w:t>
            </w:r>
          </w:p>
        </w:tc>
        <w:tc>
          <w:tcPr>
            <w:tcW w:w="2730" w:type="dxa"/>
            <w:vAlign w:val="center"/>
          </w:tcPr>
          <w:p w14:paraId="256A0928">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35872EF6">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95</w:t>
            </w:r>
          </w:p>
        </w:tc>
        <w:tc>
          <w:tcPr>
            <w:tcW w:w="705" w:type="dxa"/>
            <w:vAlign w:val="center"/>
          </w:tcPr>
          <w:p w14:paraId="11375C53">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Times New Roman"/>
                <w:sz w:val="21"/>
                <w:szCs w:val="21"/>
                <w:highlight w:val="none"/>
                <w:vertAlign w:val="baseline"/>
                <w:lang w:val="en-US" w:eastAsia="zh-CN"/>
              </w:rPr>
              <w:t>优</w:t>
            </w:r>
          </w:p>
        </w:tc>
      </w:tr>
      <w:tr w14:paraId="517A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2B38CCEB">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8</w:t>
            </w:r>
          </w:p>
        </w:tc>
        <w:tc>
          <w:tcPr>
            <w:tcW w:w="2284" w:type="dxa"/>
            <w:vAlign w:val="center"/>
          </w:tcPr>
          <w:p w14:paraId="41EBAF2B">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kern w:val="2"/>
                <w:sz w:val="21"/>
                <w:szCs w:val="21"/>
                <w:highlight w:val="none"/>
                <w:lang w:val="en-US" w:eastAsia="zh-CN"/>
              </w:rPr>
              <w:t>兴凯湖保洁</w:t>
            </w:r>
          </w:p>
        </w:tc>
        <w:tc>
          <w:tcPr>
            <w:tcW w:w="1035" w:type="dxa"/>
            <w:vAlign w:val="center"/>
          </w:tcPr>
          <w:p w14:paraId="4F978726">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17</w:t>
            </w:r>
          </w:p>
        </w:tc>
        <w:tc>
          <w:tcPr>
            <w:tcW w:w="2730" w:type="dxa"/>
            <w:vAlign w:val="center"/>
          </w:tcPr>
          <w:p w14:paraId="675C4595">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659574DB">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96</w:t>
            </w:r>
          </w:p>
        </w:tc>
        <w:tc>
          <w:tcPr>
            <w:tcW w:w="705" w:type="dxa"/>
            <w:vAlign w:val="center"/>
          </w:tcPr>
          <w:p w14:paraId="37CF2E40">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Times New Roman"/>
                <w:sz w:val="21"/>
                <w:szCs w:val="21"/>
                <w:highlight w:val="none"/>
                <w:vertAlign w:val="baseline"/>
                <w:lang w:val="en-US" w:eastAsia="zh-CN"/>
              </w:rPr>
              <w:t>优</w:t>
            </w:r>
          </w:p>
        </w:tc>
      </w:tr>
      <w:tr w14:paraId="2777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43" w:type="dxa"/>
            <w:vAlign w:val="center"/>
          </w:tcPr>
          <w:p w14:paraId="37ADE359">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w:t>
            </w:r>
          </w:p>
        </w:tc>
        <w:tc>
          <w:tcPr>
            <w:tcW w:w="2284" w:type="dxa"/>
            <w:vAlign w:val="center"/>
          </w:tcPr>
          <w:p w14:paraId="6A1D88A7">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养护设备维修</w:t>
            </w:r>
          </w:p>
        </w:tc>
        <w:tc>
          <w:tcPr>
            <w:tcW w:w="1035" w:type="dxa"/>
            <w:vAlign w:val="center"/>
          </w:tcPr>
          <w:p w14:paraId="01769B24">
            <w:pPr>
              <w:snapToGrid w:val="0"/>
              <w:spacing w:after="0" w:line="360" w:lineRule="auto"/>
              <w:jc w:val="center"/>
              <w:rPr>
                <w:rFonts w:hint="eastAsia"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1</w:t>
            </w:r>
          </w:p>
        </w:tc>
        <w:tc>
          <w:tcPr>
            <w:tcW w:w="2730" w:type="dxa"/>
            <w:vAlign w:val="center"/>
          </w:tcPr>
          <w:p w14:paraId="76046023">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仿宋"/>
                <w:color w:val="000000"/>
                <w:kern w:val="0"/>
                <w:sz w:val="21"/>
                <w:szCs w:val="21"/>
                <w:highlight w:val="none"/>
                <w:lang w:val="en-US" w:eastAsia="zh-CN" w:bidi="ar"/>
              </w:rPr>
              <w:t>秦皇岛经济技术开发区交通运输局公路管理站</w:t>
            </w:r>
          </w:p>
        </w:tc>
        <w:tc>
          <w:tcPr>
            <w:tcW w:w="725" w:type="dxa"/>
            <w:vAlign w:val="center"/>
          </w:tcPr>
          <w:p w14:paraId="12BFE09B">
            <w:pPr>
              <w:snapToGrid w:val="0"/>
              <w:spacing w:after="0" w:line="360" w:lineRule="auto"/>
              <w:jc w:val="center"/>
              <w:rPr>
                <w:rFonts w:hint="default" w:ascii="仿宋" w:hAnsi="仿宋" w:eastAsia="仿宋" w:cs="Times New Roman"/>
                <w:sz w:val="21"/>
                <w:szCs w:val="21"/>
                <w:highlight w:val="none"/>
                <w:vertAlign w:val="baseline"/>
                <w:lang w:val="en-US" w:eastAsia="zh-CN"/>
              </w:rPr>
            </w:pPr>
            <w:r>
              <w:rPr>
                <w:rFonts w:hint="eastAsia" w:ascii="仿宋" w:hAnsi="仿宋" w:eastAsia="仿宋" w:cs="Times New Roman"/>
                <w:sz w:val="21"/>
                <w:szCs w:val="21"/>
                <w:highlight w:val="none"/>
                <w:vertAlign w:val="baseline"/>
                <w:lang w:val="en-US" w:eastAsia="zh-CN"/>
              </w:rPr>
              <w:t>98</w:t>
            </w:r>
          </w:p>
        </w:tc>
        <w:tc>
          <w:tcPr>
            <w:tcW w:w="705" w:type="dxa"/>
            <w:vAlign w:val="center"/>
          </w:tcPr>
          <w:p w14:paraId="0A3C812C">
            <w:pPr>
              <w:snapToGrid w:val="0"/>
              <w:spacing w:after="0" w:line="360" w:lineRule="auto"/>
              <w:jc w:val="center"/>
              <w:rPr>
                <w:rFonts w:hint="eastAsia" w:ascii="仿宋" w:hAnsi="仿宋" w:eastAsia="仿宋" w:cs="Times New Roman"/>
                <w:sz w:val="21"/>
                <w:szCs w:val="21"/>
                <w:highlight w:val="none"/>
                <w:vertAlign w:val="baseline"/>
              </w:rPr>
            </w:pPr>
            <w:r>
              <w:rPr>
                <w:rFonts w:hint="eastAsia" w:ascii="仿宋" w:hAnsi="仿宋" w:eastAsia="仿宋" w:cs="Times New Roman"/>
                <w:sz w:val="21"/>
                <w:szCs w:val="21"/>
                <w:highlight w:val="none"/>
                <w:vertAlign w:val="baseline"/>
                <w:lang w:val="en-US" w:eastAsia="zh-CN"/>
              </w:rPr>
              <w:t>优</w:t>
            </w:r>
          </w:p>
        </w:tc>
      </w:tr>
    </w:tbl>
    <w:p w14:paraId="0D2A5FA7">
      <w:pPr>
        <w:snapToGrid w:val="0"/>
        <w:spacing w:after="0" w:line="360" w:lineRule="auto"/>
        <w:ind w:firstLine="200"/>
        <w:jc w:val="center"/>
        <w:rPr>
          <w:rFonts w:hint="eastAsia" w:ascii="仿宋" w:hAnsi="仿宋" w:eastAsia="仿宋" w:cs="Times New Roman"/>
          <w:sz w:val="21"/>
          <w:szCs w:val="21"/>
          <w:highlight w:val="yellow"/>
        </w:rPr>
      </w:pPr>
    </w:p>
    <w:p w14:paraId="38785A9A">
      <w:pPr>
        <w:adjustRightInd w:val="0"/>
        <w:snapToGrid w:val="0"/>
        <w:spacing w:after="0" w:line="360" w:lineRule="auto"/>
        <w:ind w:firstLine="321" w:firstLineChars="1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14:paraId="7C389D62">
      <w:pPr>
        <w:adjustRightInd w:val="0"/>
        <w:snapToGrid w:val="0"/>
        <w:spacing w:after="0" w:line="360" w:lineRule="auto"/>
        <w:ind w:firstLine="320" w:firstLineChars="100"/>
        <w:rPr>
          <w:rFonts w:hint="eastAsia" w:ascii="仿宋" w:hAnsi="仿宋" w:eastAsia="仿宋" w:cs="仿宋_GB2312"/>
          <w:b/>
          <w:bCs/>
          <w:sz w:val="32"/>
          <w:szCs w:val="32"/>
          <w:highlight w:val="none"/>
        </w:rPr>
      </w:pPr>
      <w:r>
        <w:rPr>
          <w:rFonts w:hint="eastAsia" w:ascii="仿宋" w:hAnsi="仿宋" w:eastAsia="仿宋" w:cs="仿宋_GB2312"/>
          <w:sz w:val="32"/>
          <w:szCs w:val="32"/>
          <w:highlight w:val="none"/>
        </w:rPr>
        <w:t>“无部门评价项目绩效评价结果。”</w:t>
      </w:r>
    </w:p>
    <w:p w14:paraId="22FAB7D5">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14:paraId="076B2A58">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1.本单位2023年度政府性基金预算财政拨款无收支及结转结余情况, 故公开07表以空表列示；国有资本经营预算经费无收支及结转结余情况, 故公开08表以空表列示。</w:t>
      </w:r>
    </w:p>
    <w:p w14:paraId="669E9FCD">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14:paraId="001D6A83">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108DC17D">
      <w:pPr>
        <w:adjustRightInd w:val="0"/>
        <w:snapToGrid w:val="0"/>
        <w:spacing w:line="580" w:lineRule="exact"/>
        <w:ind w:firstLine="640" w:firstLineChars="200"/>
        <w:rPr>
          <w:rFonts w:ascii="Times New Roman" w:hAnsi="Times New Roman" w:eastAsia="仿宋_GB2312" w:cs="Times New Roman"/>
          <w:sz w:val="32"/>
          <w:szCs w:val="32"/>
        </w:rPr>
      </w:pPr>
    </w:p>
    <w:p w14:paraId="682F4AAD">
      <w:pPr>
        <w:adjustRightInd w:val="0"/>
        <w:snapToGrid w:val="0"/>
        <w:spacing w:line="580" w:lineRule="exact"/>
        <w:rPr>
          <w:rFonts w:ascii="Times New Roman" w:hAnsi="Times New Roman" w:eastAsia="仿宋_GB2312" w:cs="Times New Roman"/>
          <w:sz w:val="32"/>
          <w:szCs w:val="32"/>
        </w:rPr>
      </w:pPr>
    </w:p>
    <w:p w14:paraId="7950B532">
      <w:pPr>
        <w:adjustRightInd w:val="0"/>
        <w:snapToGrid w:val="0"/>
        <w:spacing w:line="580" w:lineRule="exact"/>
        <w:ind w:firstLine="640" w:firstLineChars="200"/>
        <w:rPr>
          <w:rFonts w:ascii="Times New Roman" w:hAnsi="Times New Roman" w:eastAsia="仿宋_GB2312" w:cs="Times New Roman"/>
          <w:sz w:val="32"/>
          <w:szCs w:val="32"/>
        </w:rPr>
      </w:pPr>
    </w:p>
    <w:p w14:paraId="28444404">
      <w:pPr>
        <w:adjustRightInd w:val="0"/>
        <w:snapToGrid w:val="0"/>
        <w:spacing w:line="580" w:lineRule="exact"/>
        <w:ind w:firstLine="640" w:firstLineChars="200"/>
        <w:rPr>
          <w:rFonts w:ascii="Times New Roman" w:hAnsi="Times New Roman" w:eastAsia="仿宋_GB2312" w:cs="Times New Roman"/>
          <w:sz w:val="32"/>
          <w:szCs w:val="32"/>
        </w:rPr>
      </w:pPr>
    </w:p>
    <w:p w14:paraId="5DF202E0">
      <w:pPr>
        <w:adjustRightInd w:val="0"/>
        <w:snapToGrid w:val="0"/>
        <w:spacing w:line="580" w:lineRule="exact"/>
        <w:ind w:firstLine="640" w:firstLineChars="200"/>
        <w:rPr>
          <w:rFonts w:ascii="Times New Roman" w:hAnsi="Times New Roman" w:eastAsia="仿宋_GB2312" w:cs="Times New Roman"/>
          <w:sz w:val="32"/>
          <w:szCs w:val="32"/>
        </w:rPr>
      </w:pPr>
    </w:p>
    <w:p w14:paraId="286538C6">
      <w:pPr>
        <w:widowControl/>
        <w:spacing w:line="580" w:lineRule="exact"/>
        <w:ind w:firstLine="883" w:firstLineChars="200"/>
        <w:jc w:val="left"/>
        <w:rPr>
          <w:rFonts w:ascii="Times New Roman" w:hAnsi="Times New Roman" w:eastAsia="宋体" w:cs="Times New Roman"/>
          <w:b/>
          <w:bCs/>
          <w:sz w:val="44"/>
          <w:szCs w:val="44"/>
        </w:rPr>
      </w:pPr>
    </w:p>
    <w:p w14:paraId="4E3FBEE6">
      <w:pPr>
        <w:rPr>
          <w:rFonts w:ascii="Times New Roman" w:hAnsi="Times New Roman" w:eastAsia="仿宋_GB2312" w:cs="Times New Roman"/>
          <w:sz w:val="32"/>
          <w:szCs w:val="32"/>
        </w:rPr>
      </w:pPr>
    </w:p>
    <w:p w14:paraId="7E8B5584">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25CB299">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93C64FB">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1CFAE360">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14:paraId="5FF1ACD2">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14:paraId="557FD10D">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14:paraId="2383B49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14:paraId="0EB4E386">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14:paraId="4C894227">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14:paraId="48BBAE0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14:paraId="631036E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14:paraId="00173F7F">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14:paraId="16EB9D1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14:paraId="67F7414B">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14:paraId="1390C6FD">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14:paraId="342E9906">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AB14F19">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7F345CB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6D5518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14:paraId="10A4ECA1">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14:paraId="22168E65">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14:paraId="56616B1E">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257411A">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14:paraId="18696F2B">
      <w:pPr>
        <w:rPr>
          <w:rFonts w:ascii="Times New Roman" w:hAnsi="Times New Roman" w:cs="Times New Roman"/>
        </w:rPr>
      </w:pPr>
    </w:p>
    <w:p w14:paraId="1FDA8DAE">
      <w:pPr>
        <w:pStyle w:val="10"/>
        <w:widowControl/>
        <w:spacing w:beforeAutospacing="0" w:afterAutospacing="0"/>
        <w:rPr>
          <w:rFonts w:ascii="Times New Roman" w:hAnsi="Times New Roman" w:eastAsia="仿宋_GB2312"/>
          <w:color w:val="333333"/>
          <w:sz w:val="33"/>
          <w:szCs w:val="33"/>
          <w:shd w:val="clear" w:color="auto" w:fill="FFFFFF"/>
        </w:rPr>
      </w:pPr>
    </w:p>
    <w:p w14:paraId="1E7A0383">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2B54AB9-1713-45DB-A74A-18BD5328E8DB}"/>
  </w:font>
  <w:font w:name="黑体">
    <w:panose1 w:val="02010609060101010101"/>
    <w:charset w:val="86"/>
    <w:family w:val="auto"/>
    <w:pitch w:val="default"/>
    <w:sig w:usb0="800002BF" w:usb1="38CF7CFA" w:usb2="00000016" w:usb3="00000000" w:csb0="00040001" w:csb1="00000000"/>
    <w:embedRegular r:id="rId2" w:fontKey="{091DBF44-F599-4F77-9850-73823CEE68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3" w:fontKey="{DB1C114C-346E-47E5-B6BB-D04EE2EC7CC1}"/>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4" w:fontKey="{E3B49B82-450B-42D3-8322-8D8308337ADA}"/>
  </w:font>
  <w:font w:name="思源黑体 CN Heavy">
    <w:altName w:val="黑体"/>
    <w:panose1 w:val="00000000000000000000"/>
    <w:charset w:val="86"/>
    <w:family w:val="swiss"/>
    <w:pitch w:val="default"/>
    <w:sig w:usb0="00000000" w:usb1="00000000" w:usb2="00000016" w:usb3="00000000" w:csb0="00060107" w:csb1="00000000"/>
    <w:embedRegular r:id="rId5" w:fontKey="{F78A9CC7-6D51-49AF-9272-38076A4E19EE}"/>
  </w:font>
  <w:font w:name="楷体_GB2312">
    <w:altName w:val="楷体"/>
    <w:panose1 w:val="00000000000000000000"/>
    <w:charset w:val="86"/>
    <w:family w:val="modern"/>
    <w:pitch w:val="default"/>
    <w:sig w:usb0="00000000" w:usb1="00000000" w:usb2="00000010" w:usb3="00000000" w:csb0="00040000" w:csb1="00000000"/>
    <w:embedRegular r:id="rId6" w:fontKey="{E8384BDE-97F6-4B51-B34F-BA307B54DC94}"/>
  </w:font>
  <w:font w:name="仿宋_GB2312">
    <w:altName w:val="仿宋"/>
    <w:panose1 w:val="00000000000000000000"/>
    <w:charset w:val="86"/>
    <w:family w:val="modern"/>
    <w:pitch w:val="default"/>
    <w:sig w:usb0="00000000" w:usb1="00000000" w:usb2="00000010" w:usb3="00000000" w:csb0="00040000" w:csb1="00000000"/>
    <w:embedRegular r:id="rId7" w:fontKey="{BD3C1931-E1A0-4307-8CBB-FCCB5D741B0A}"/>
  </w:font>
  <w:font w:name="Batang">
    <w:panose1 w:val="02030600000101010101"/>
    <w:charset w:val="81"/>
    <w:family w:val="roman"/>
    <w:pitch w:val="default"/>
    <w:sig w:usb0="B00002AF" w:usb1="69D77CFB" w:usb2="00000030" w:usb3="00000000" w:csb0="4008009F" w:csb1="DFD70000"/>
    <w:embedRegular r:id="rId8" w:fontKey="{A828DF76-37CC-4E51-8994-5CC6A3F7359B}"/>
  </w:font>
  <w:font w:name="ArialUnicodeMS">
    <w:altName w:val="Malgun Gothic"/>
    <w:panose1 w:val="00000000000000000000"/>
    <w:charset w:val="81"/>
    <w:family w:val="auto"/>
    <w:pitch w:val="default"/>
    <w:sig w:usb0="00000000" w:usb1="00000000" w:usb2="00000010" w:usb3="00000000" w:csb0="00080001" w:csb1="00000000"/>
    <w:embedRegular r:id="rId9" w:fontKey="{46C41F84-7EE0-419A-86D6-7E168082FC93}"/>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0" w:fontKey="{29E97E3B-2BD3-4792-B3D3-378829B2042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14:paraId="407F415E">
        <w:pPr>
          <w:pStyle w:val="8"/>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14:paraId="4D124D14">
        <w:pPr>
          <w:pStyle w:val="8"/>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14:paraId="46FDE5A1">
    <w:pPr>
      <w:pStyle w:val="8"/>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D1CE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UsImhkaWQiOiIzMWE1MzMwMDNjMmJhYTE1ZmE0MmVkZDFmNDA1ZThhMiIsInVzZXJDb3VudCI6M30="/>
  </w:docVars>
  <w:rsids>
    <w:rsidRoot w:val="00287DAF"/>
    <w:rsid w:val="00037B7D"/>
    <w:rsid w:val="000546A1"/>
    <w:rsid w:val="00061C12"/>
    <w:rsid w:val="00086151"/>
    <w:rsid w:val="00092BE6"/>
    <w:rsid w:val="00096086"/>
    <w:rsid w:val="0009670E"/>
    <w:rsid w:val="000B1680"/>
    <w:rsid w:val="000B20F4"/>
    <w:rsid w:val="000E17E7"/>
    <w:rsid w:val="000F6501"/>
    <w:rsid w:val="00110B73"/>
    <w:rsid w:val="001258D4"/>
    <w:rsid w:val="00135E74"/>
    <w:rsid w:val="001369CA"/>
    <w:rsid w:val="00157078"/>
    <w:rsid w:val="00166836"/>
    <w:rsid w:val="001C558D"/>
    <w:rsid w:val="001D611E"/>
    <w:rsid w:val="00204372"/>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6E2E"/>
    <w:rsid w:val="0047323C"/>
    <w:rsid w:val="0048604A"/>
    <w:rsid w:val="00494B2C"/>
    <w:rsid w:val="004A2A12"/>
    <w:rsid w:val="0056005C"/>
    <w:rsid w:val="00560623"/>
    <w:rsid w:val="005E67A6"/>
    <w:rsid w:val="00626BDC"/>
    <w:rsid w:val="0063657C"/>
    <w:rsid w:val="0066027C"/>
    <w:rsid w:val="0067075F"/>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71A4"/>
    <w:rsid w:val="0091307C"/>
    <w:rsid w:val="00926DCC"/>
    <w:rsid w:val="009325F5"/>
    <w:rsid w:val="0094592D"/>
    <w:rsid w:val="00952863"/>
    <w:rsid w:val="00953488"/>
    <w:rsid w:val="00A07CFF"/>
    <w:rsid w:val="00A169CA"/>
    <w:rsid w:val="00A17B27"/>
    <w:rsid w:val="00A50DF3"/>
    <w:rsid w:val="00A62C78"/>
    <w:rsid w:val="00AC6C8A"/>
    <w:rsid w:val="00AF1DD2"/>
    <w:rsid w:val="00AF3C93"/>
    <w:rsid w:val="00B03561"/>
    <w:rsid w:val="00B15D61"/>
    <w:rsid w:val="00B73503"/>
    <w:rsid w:val="00B90C6B"/>
    <w:rsid w:val="00BF067C"/>
    <w:rsid w:val="00C012F0"/>
    <w:rsid w:val="00C1240F"/>
    <w:rsid w:val="00C142C3"/>
    <w:rsid w:val="00C546E9"/>
    <w:rsid w:val="00C65689"/>
    <w:rsid w:val="00C71FEF"/>
    <w:rsid w:val="00CA13DB"/>
    <w:rsid w:val="00CA42FD"/>
    <w:rsid w:val="00CC1334"/>
    <w:rsid w:val="00CC2C8E"/>
    <w:rsid w:val="00D22E56"/>
    <w:rsid w:val="00D56C3E"/>
    <w:rsid w:val="00D777BD"/>
    <w:rsid w:val="00D77ACE"/>
    <w:rsid w:val="00DB6259"/>
    <w:rsid w:val="00DC3B1E"/>
    <w:rsid w:val="00DF45A8"/>
    <w:rsid w:val="00E03F28"/>
    <w:rsid w:val="00E20DD6"/>
    <w:rsid w:val="00E32B11"/>
    <w:rsid w:val="00E35D8F"/>
    <w:rsid w:val="00E86690"/>
    <w:rsid w:val="00EB0434"/>
    <w:rsid w:val="00EC1488"/>
    <w:rsid w:val="00EE6912"/>
    <w:rsid w:val="00F002F9"/>
    <w:rsid w:val="00F03983"/>
    <w:rsid w:val="00F073C6"/>
    <w:rsid w:val="00F10C1C"/>
    <w:rsid w:val="00F30220"/>
    <w:rsid w:val="00F373B5"/>
    <w:rsid w:val="00F41289"/>
    <w:rsid w:val="00F44A21"/>
    <w:rsid w:val="00F44C48"/>
    <w:rsid w:val="00F66634"/>
    <w:rsid w:val="00F67D18"/>
    <w:rsid w:val="00F705B2"/>
    <w:rsid w:val="00FA4CE8"/>
    <w:rsid w:val="00FA6F14"/>
    <w:rsid w:val="00FE2157"/>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740BAF"/>
    <w:rsid w:val="07B3657A"/>
    <w:rsid w:val="07C857D0"/>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DC64D8"/>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07738"/>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BF40F2"/>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A6422C"/>
    <w:rsid w:val="3AAF46D5"/>
    <w:rsid w:val="3ABB18D9"/>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393FD2"/>
    <w:rsid w:val="52640E8B"/>
    <w:rsid w:val="5267570A"/>
    <w:rsid w:val="52707792"/>
    <w:rsid w:val="52A12CDC"/>
    <w:rsid w:val="52DF0C92"/>
    <w:rsid w:val="52E1159C"/>
    <w:rsid w:val="52E34D6A"/>
    <w:rsid w:val="531E524E"/>
    <w:rsid w:val="534072EB"/>
    <w:rsid w:val="537648BE"/>
    <w:rsid w:val="538E2D0B"/>
    <w:rsid w:val="53922782"/>
    <w:rsid w:val="539C1424"/>
    <w:rsid w:val="53A639C0"/>
    <w:rsid w:val="53C26F6F"/>
    <w:rsid w:val="53DA1889"/>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AC73B5"/>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513560"/>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D577DD"/>
    <w:rsid w:val="700D6539"/>
    <w:rsid w:val="704203E3"/>
    <w:rsid w:val="7058046B"/>
    <w:rsid w:val="707F2079"/>
    <w:rsid w:val="70922734"/>
    <w:rsid w:val="70CE6DC7"/>
    <w:rsid w:val="710B3646"/>
    <w:rsid w:val="711759F2"/>
    <w:rsid w:val="713C4ED8"/>
    <w:rsid w:val="71407642"/>
    <w:rsid w:val="71641210"/>
    <w:rsid w:val="71721D4C"/>
    <w:rsid w:val="71D95B7C"/>
    <w:rsid w:val="71EA6A50"/>
    <w:rsid w:val="71FE31A8"/>
    <w:rsid w:val="720C30AE"/>
    <w:rsid w:val="721F6113"/>
    <w:rsid w:val="7233782C"/>
    <w:rsid w:val="72DC3F1C"/>
    <w:rsid w:val="73177841"/>
    <w:rsid w:val="733774FE"/>
    <w:rsid w:val="73617E1B"/>
    <w:rsid w:val="73677C46"/>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unhideWhenUsed/>
    <w:qFormat/>
    <w:uiPriority w:val="99"/>
    <w:pPr>
      <w:spacing w:beforeAutospacing="1" w:after="0"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32</Pages>
  <Words>3605</Words>
  <Characters>4117</Characters>
  <Lines>40</Lines>
  <Paragraphs>11</Paragraphs>
  <TotalTime>2</TotalTime>
  <ScaleCrop>false</ScaleCrop>
  <LinksUpToDate>false</LinksUpToDate>
  <CharactersWithSpaces>4211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2024-09-18T20:51:00Z</dcterms:created>
  <dc:creator>王明新TIAD</dc:creator>
  <cp:lastModifiedBy>翟月</cp:lastModifiedBy>
  <cp:lastPrinted>2023-08-04T01:00:00Z</cp:lastPrinted>
  <dcterms:modified xsi:type="dcterms:W3CDTF">2025-06-03T01:32:17Z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A886FD70E2A74077A22384A10D2F49D7_13</vt:lpwstr>
  </property>
  <property fmtid="{D5CDD505-2E9C-101B-9397-08002B2CF9AE}" pid="4" name="KSOTemplateUUID">
    <vt:lpwstr>v1.0_mb_S7ajbG3IpAnL1wSthNCxfw==</vt:lpwstr>
  </property>
  <property fmtid="{D5CDD505-2E9C-101B-9397-08002B2CF9AE}" pid="5" name="KSOTemplateDocerSaveRecord">
    <vt:lpwstr>eyJoZGlkIjoiYTBiZTc2ODQ3NDU0MDg3ZjJlYzhhMDFkNzhhNzM4NzQiLCJ1c2VySWQiOiI1NjQ0NjA2OTQifQ==</vt:lpwstr>
  </property>
</Properties>
</file>