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11"/>
          <w:rFonts w:hint="eastAsia" w:ascii="方正小标宋简体" w:eastAsia="方正小标宋简体"/>
          <w:color w:val="auto"/>
          <w:spacing w:val="0"/>
          <w:sz w:val="44"/>
          <w:szCs w:val="44"/>
        </w:rPr>
      </w:pPr>
      <w:r>
        <w:rPr>
          <w:rStyle w:val="11"/>
          <w:rFonts w:hint="eastAsia" w:ascii="方正小标宋简体" w:eastAsia="方正小标宋简体"/>
          <w:color w:val="auto"/>
          <w:spacing w:val="0"/>
          <w:sz w:val="44"/>
          <w:szCs w:val="44"/>
        </w:rPr>
        <w:t>秦皇岛经济技术开发区</w:t>
      </w:r>
    </w:p>
    <w:p>
      <w:pPr>
        <w:spacing w:line="560" w:lineRule="exact"/>
        <w:jc w:val="center"/>
        <w:rPr>
          <w:rStyle w:val="11"/>
          <w:rFonts w:hint="eastAsia" w:ascii="方正小标宋简体" w:eastAsia="方正小标宋简体"/>
          <w:color w:val="auto"/>
          <w:spacing w:val="0"/>
          <w:sz w:val="44"/>
          <w:szCs w:val="44"/>
        </w:rPr>
      </w:pPr>
      <w:r>
        <w:rPr>
          <w:rStyle w:val="11"/>
          <w:rFonts w:hint="eastAsia" w:ascii="方正小标宋简体" w:eastAsia="方正小标宋简体"/>
          <w:color w:val="auto"/>
          <w:spacing w:val="0"/>
          <w:sz w:val="44"/>
          <w:szCs w:val="44"/>
        </w:rPr>
        <w:t>202</w:t>
      </w:r>
      <w:r>
        <w:rPr>
          <w:rStyle w:val="11"/>
          <w:rFonts w:hint="eastAsia" w:ascii="方正小标宋简体" w:eastAsia="方正小标宋简体"/>
          <w:color w:val="auto"/>
          <w:spacing w:val="0"/>
          <w:sz w:val="44"/>
          <w:szCs w:val="44"/>
          <w:lang w:val="en-US" w:eastAsia="zh-CN"/>
        </w:rPr>
        <w:t>5</w:t>
      </w:r>
      <w:r>
        <w:rPr>
          <w:rStyle w:val="11"/>
          <w:rFonts w:hint="eastAsia" w:ascii="方正小标宋简体" w:eastAsia="方正小标宋简体"/>
          <w:color w:val="auto"/>
          <w:spacing w:val="0"/>
          <w:sz w:val="44"/>
          <w:szCs w:val="44"/>
        </w:rPr>
        <w:t>年财政衔接推进乡村振兴补助资金项目</w:t>
      </w:r>
    </w:p>
    <w:p>
      <w:pPr>
        <w:spacing w:line="560" w:lineRule="exact"/>
        <w:jc w:val="center"/>
        <w:rPr>
          <w:rStyle w:val="11"/>
          <w:rFonts w:hint="eastAsia" w:ascii="方正小标宋简体" w:eastAsia="方正小标宋简体"/>
          <w:color w:val="auto"/>
          <w:spacing w:val="0"/>
          <w:sz w:val="44"/>
          <w:szCs w:val="44"/>
        </w:rPr>
      </w:pPr>
      <w:r>
        <w:rPr>
          <w:rStyle w:val="11"/>
          <w:rFonts w:hint="eastAsia" w:ascii="方正小标宋简体" w:eastAsia="方正小标宋简体"/>
          <w:color w:val="auto"/>
          <w:spacing w:val="0"/>
          <w:sz w:val="44"/>
          <w:szCs w:val="44"/>
          <w:lang w:val="en-US" w:eastAsia="zh-CN"/>
        </w:rPr>
        <w:t>使用</w:t>
      </w:r>
      <w:r>
        <w:rPr>
          <w:rStyle w:val="11"/>
          <w:rFonts w:hint="eastAsia" w:ascii="方正小标宋简体" w:eastAsia="方正小标宋简体"/>
          <w:color w:val="auto"/>
          <w:spacing w:val="0"/>
          <w:sz w:val="44"/>
          <w:szCs w:val="44"/>
        </w:rPr>
        <w:t>计划</w:t>
      </w:r>
    </w:p>
    <w:p>
      <w:pPr>
        <w:spacing w:line="560" w:lineRule="exact"/>
        <w:rPr>
          <w:rStyle w:val="11"/>
          <w:rFonts w:hint="eastAsia" w:ascii="FZXBSK--GBK1-0" w:eastAsia="宋体"/>
          <w:color w:val="auto"/>
          <w:spacing w:val="-34"/>
          <w:sz w:val="40"/>
          <w:szCs w:val="40"/>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为深入贯彻党中央、国务院巩固拓展脱贫攻坚成果同乡村振兴有效衔接的决策部署，充分发挥财政衔接推进乡村振兴补助资金作用，根据省财政厅等六部门《关于印发&lt;河北省财政衔接推进乡村振兴补助资金管理办法&gt;的通知》（冀财农〔2023〕34号）和秦皇岛市财政局《关于提前下达2025年中央财政衔接推进乡村振兴补助资金预算的通知》（</w:t>
      </w:r>
      <w:r>
        <w:rPr>
          <w:rFonts w:hint="eastAsia" w:ascii="仿宋_GB2312" w:hAnsi="仿宋_GB2312" w:eastAsia="仿宋_GB2312" w:cs="仿宋_GB2312"/>
          <w:color w:val="auto"/>
          <w:kern w:val="0"/>
          <w:sz w:val="32"/>
          <w:szCs w:val="32"/>
          <w:lang w:val="en-US" w:eastAsia="zh-CN" w:bidi="ar"/>
        </w:rPr>
        <w:t>秦财农〔2024〕516号</w:t>
      </w:r>
      <w:r>
        <w:rPr>
          <w:rFonts w:hint="eastAsia" w:ascii="仿宋_GB2312" w:hAnsi="仿宋_GB2312" w:eastAsia="仿宋_GB2312" w:cs="仿宋_GB2312"/>
          <w:color w:val="auto"/>
          <w:kern w:val="0"/>
          <w:sz w:val="32"/>
          <w:szCs w:val="32"/>
          <w:lang w:val="en-US" w:eastAsia="zh-CN"/>
        </w:rPr>
        <w:t>）、《关于提前下达2025年省级财政衔接推进乡村振兴补助资金预算的通知》（</w:t>
      </w:r>
      <w:r>
        <w:rPr>
          <w:rFonts w:hint="eastAsia" w:ascii="仿宋_GB2312" w:hAnsi="仿宋_GB2312" w:eastAsia="仿宋_GB2312" w:cs="仿宋_GB2312"/>
          <w:color w:val="auto"/>
          <w:kern w:val="0"/>
          <w:sz w:val="32"/>
          <w:szCs w:val="32"/>
          <w:lang w:val="en-US" w:eastAsia="zh-CN" w:bidi="ar"/>
        </w:rPr>
        <w:t>秦财农〔2024〕553号</w:t>
      </w:r>
      <w:r>
        <w:rPr>
          <w:rFonts w:hint="eastAsia" w:ascii="仿宋_GB2312" w:hAnsi="仿宋_GB2312" w:eastAsia="仿宋_GB2312" w:cs="仿宋_GB2312"/>
          <w:color w:val="auto"/>
          <w:kern w:val="0"/>
          <w:sz w:val="32"/>
          <w:szCs w:val="32"/>
          <w:lang w:val="en-US" w:eastAsia="zh-CN"/>
        </w:rPr>
        <w:t>）等文件精神，结合我区实际，制定本实施计划。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2"/>
          <w:rFonts w:hint="eastAsia" w:ascii="黑体" w:hAnsi="黑体" w:eastAsia="黑体" w:cs="黑体"/>
          <w:color w:val="auto"/>
          <w:sz w:val="32"/>
          <w:szCs w:val="32"/>
        </w:rPr>
      </w:pPr>
      <w:r>
        <w:rPr>
          <w:rStyle w:val="12"/>
          <w:rFonts w:hint="eastAsia" w:ascii="黑体" w:hAnsi="黑体" w:eastAsia="黑体" w:cs="黑体"/>
          <w:color w:val="auto"/>
          <w:sz w:val="32"/>
          <w:szCs w:val="32"/>
        </w:rPr>
        <w:t>一、指导思想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eastAsia" w:ascii="仿宋_GB2312" w:hAnsi="Calibri"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习近平新时代中国特色社会主义思想为指导，深入贯彻落实党的二十大精神，认真落实中央、省、市关于巩固拓展脱贫攻坚成果同乡村振兴有效衔接部署要求，积极探索产业发展新途径、新方法，建立产业帮扶利益联接机制，以产业发展促进增收、巩固拓展脱贫攻坚成果，为全面推进乡村振兴奠定基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Style w:val="12"/>
          <w:rFonts w:hint="eastAsia" w:ascii="黑体" w:hAnsi="黑体" w:eastAsia="黑体" w:cs="黑体"/>
          <w:color w:val="auto"/>
          <w:sz w:val="32"/>
          <w:szCs w:val="32"/>
          <w:lang w:val="en-US" w:eastAsia="zh-CN"/>
        </w:rPr>
      </w:pPr>
      <w:r>
        <w:rPr>
          <w:rStyle w:val="12"/>
          <w:rFonts w:hint="eastAsia" w:ascii="黑体" w:hAnsi="黑体" w:eastAsia="黑体" w:cs="黑体"/>
          <w:color w:val="auto"/>
          <w:sz w:val="32"/>
          <w:szCs w:val="32"/>
          <w:lang w:val="en-US" w:eastAsia="zh-CN"/>
        </w:rPr>
        <w:t>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lang w:val="en-US" w:eastAsia="zh-CN"/>
        </w:rPr>
        <w:t>将资产收益项目和新型农村集体经济项目纳入巩固拓展脱贫攻坚成果和乡村振兴项目库，从项目库中选择2个符合条件的项目，其中资产收益项目通过将省、区两级财政衔接资金投入到秦皇岛经济技术开发区泰盛城市环境工程有限公司实施资产收益项目，增加全区脱贫户和防贫监测户收入；新型农村集体经济项目通过中央财政衔接资金支持实施新型农村集体经济发展项目，拓宽村集体经济增收路径，进一步提高村集体经济收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7" w:firstLineChars="196"/>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衔接资金规模及范围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2025年我区各级财政衔接推进乡村振兴补助资金共78万元。其中，中央资金50万元，省级资金5万元，区级资金23万元。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河北省乡村振兴局关于印发&lt;河北省巩固拓展脱贫攻坚成果和乡村振兴项目库建设指南&gt;的通知》（冀乡振发〔2022〕29号）要求，结合我区资金规模、脱贫户（防贫监测户）实际和农村集体经济发展情况，确定实施资产收益项目1个，为秦皇岛经济技术开发区泰盛城市环境工程有限公司资产收益项目，该项目资金规模28万元（省级衔接资金5万元，区级配套资金23万元），由船厂路街道办事处和腾飞路街道办事处共同实施；确定实施发展新型农村集体经济类产业项目1个，为船厂路街道办事处太和寨村集体经济门市房建设项目，该项目资金规模50万元，为中央财政衔接资金，由船厂路街道办事处组织实施。党群工作部、社会发展局、财政金融局做好相关工作指导和配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建设内容及收益分配</w:t>
      </w:r>
    </w:p>
    <w:p>
      <w:pPr>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楷体" w:hAnsi="楷体" w:eastAsia="楷体" w:cs="楷体"/>
          <w:color w:val="auto"/>
          <w:sz w:val="32"/>
          <w:szCs w:val="32"/>
          <w:lang w:val="en-US" w:eastAsia="zh-CN"/>
        </w:rPr>
        <w:t>（一）2025年秦皇岛经济技术开发区资产收益项目。</w:t>
      </w:r>
      <w:r>
        <w:rPr>
          <w:rFonts w:hint="eastAsia" w:ascii="仿宋_GB2312" w:hAnsi="仿宋_GB2312" w:eastAsia="仿宋_GB2312" w:cs="仿宋_GB2312"/>
          <w:color w:val="auto"/>
          <w:kern w:val="0"/>
          <w:sz w:val="32"/>
          <w:szCs w:val="32"/>
          <w:lang w:val="en-US" w:eastAsia="zh-CN"/>
        </w:rPr>
        <w:t>采取将财政衔接推进乡村振兴补助资金28万元投入到秦皇岛经济技术开发区泰盛城市环境工程有限公司以分红形式实施资产收益项目。由社会发展局协调各乡街分别组织脱贫户（防贫监测户）与项目实施主体签订资产收益协议，协议应明确项目实施期限、资金规模、收益水平等内容。各乡街根据资金项目使用计划分别将衔接资金拨付给实施主体，项目实施后，项目实施主体和村集体建立收益分配台账。管委与实施主体合作期限暂定为2025年至2026年，年收益率为6%，项目实施主体于2025年7月底前一次性向脱贫户（防贫监测户）分配一年期收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（二）太和寨村集体经济门市房建设项目。</w:t>
      </w:r>
      <w:r>
        <w:rPr>
          <w:rFonts w:hint="eastAsia" w:ascii="仿宋_GB2312" w:hAnsi="仿宋_GB2312" w:eastAsia="仿宋_GB2312" w:cs="仿宋_GB2312"/>
          <w:color w:val="auto"/>
          <w:sz w:val="32"/>
          <w:szCs w:val="32"/>
          <w:lang w:val="en-US" w:eastAsia="zh-CN"/>
        </w:rPr>
        <w:t>该项目位于船厂路街道办事处太和寨村，项目投资概算55万元，其中，中央财政衔接资金50万元，村集体自筹资金5万元。该项目依托北戴河火车站便利条件，充分开发和利用村委会老旧房屋，翻修改建成临街门市房约400平米，以对外出租或村集体自营模式营利，作为撬动太和寨村集体经济的杠杆，带动村民就业，增加村集体收入，</w:t>
      </w:r>
      <w:r>
        <w:rPr>
          <w:rFonts w:hint="eastAsia" w:ascii="仿宋_GB2312" w:hAnsi="仿宋_GB2312" w:eastAsia="仿宋_GB2312" w:cs="仿宋_GB2312"/>
          <w:b w:val="0"/>
          <w:bCs/>
          <w:color w:val="auto"/>
          <w:kern w:val="0"/>
          <w:sz w:val="32"/>
          <w:szCs w:val="32"/>
          <w:lang w:val="en-US" w:eastAsia="zh-CN"/>
        </w:rPr>
        <w:t>每年净收益率预计为投入财政衔接资金的5%。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2"/>
          <w:rFonts w:hint="default" w:ascii="黑体" w:hAnsi="黑体" w:eastAsia="黑体" w:cs="黑体"/>
          <w:color w:val="auto"/>
          <w:sz w:val="32"/>
          <w:szCs w:val="32"/>
          <w:lang w:val="en-US" w:eastAsia="zh-CN"/>
        </w:rPr>
      </w:pPr>
      <w:r>
        <w:rPr>
          <w:rStyle w:val="12"/>
          <w:rFonts w:hint="eastAsia" w:ascii="黑体" w:hAnsi="黑体" w:eastAsia="黑体" w:cs="黑体"/>
          <w:color w:val="auto"/>
          <w:sz w:val="32"/>
          <w:szCs w:val="32"/>
          <w:lang w:val="en-US" w:eastAsia="zh-CN"/>
        </w:rPr>
        <w:t>五</w:t>
      </w:r>
      <w:r>
        <w:rPr>
          <w:rStyle w:val="12"/>
          <w:rFonts w:hint="eastAsia" w:ascii="黑体" w:hAnsi="黑体" w:eastAsia="黑体" w:cs="黑体"/>
          <w:color w:val="auto"/>
          <w:sz w:val="32"/>
          <w:szCs w:val="32"/>
        </w:rPr>
        <w:t>、</w:t>
      </w:r>
      <w:r>
        <w:rPr>
          <w:rStyle w:val="12"/>
          <w:rFonts w:hint="eastAsia" w:ascii="黑体" w:hAnsi="黑体" w:eastAsia="黑体" w:cs="黑体"/>
          <w:color w:val="auto"/>
          <w:sz w:val="32"/>
          <w:szCs w:val="32"/>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（一）资金使用。</w:t>
      </w:r>
      <w:r>
        <w:rPr>
          <w:rFonts w:hint="eastAsia" w:ascii="仿宋_GB2312" w:hAnsi="仿宋_GB2312" w:eastAsia="仿宋_GB2312" w:cs="仿宋_GB2312"/>
          <w:color w:val="auto"/>
          <w:sz w:val="32"/>
          <w:szCs w:val="32"/>
          <w:lang w:val="en-US" w:eastAsia="zh-CN"/>
        </w:rPr>
        <w:t>用于资产收益项目的财政衔接资金主要用 于支持巩固拓展脱贫攻坚成果、支持衔接推进乡村振兴、支持巩 固拓展脱贫攻坚成果同乡村振兴有效衔接的其他相关支出，不得 用于与巩固拓展脱贫攻坚成果和推进乡村振兴无关的支出，包括 单位基本支出、交通工具及通讯设备、各种奖金津贴和福利补助、 偿还债务和垫资等。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（二）明晰权益。</w:t>
      </w:r>
      <w:r>
        <w:rPr>
          <w:rFonts w:hint="eastAsia" w:ascii="仿宋_GB2312" w:hAnsi="仿宋_GB2312" w:eastAsia="仿宋_GB2312" w:cs="仿宋_GB2312"/>
          <w:color w:val="auto"/>
          <w:sz w:val="32"/>
          <w:szCs w:val="32"/>
          <w:lang w:val="en-US" w:eastAsia="zh-CN"/>
        </w:rPr>
        <w:t>资产收益项目实施主体作为资产运营方对财政衔接资金负有运维管护和保值增值责任，依法享有经营的自主权，承担项目经营风险。管委和建档立卡脱贫户（防贫监测户）均不承担项目经营风险，不参与实施主体经营管理和决策，但享有知情权、监督权等基本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（三）风险防控。</w:t>
      </w:r>
      <w:r>
        <w:rPr>
          <w:rFonts w:hint="eastAsia" w:ascii="仿宋_GB2312" w:hAnsi="仿宋_GB2312" w:eastAsia="仿宋_GB2312" w:cs="仿宋_GB2312"/>
          <w:color w:val="auto"/>
          <w:sz w:val="32"/>
          <w:szCs w:val="32"/>
          <w:lang w:val="en-US" w:eastAsia="zh-CN"/>
        </w:rPr>
        <w:t>为依法保障脱贫户（防贫监测户）资产收益分红公开透明，预防矛盾纠纷，维护各方合法权益，任何组织和个人不得以任何名义违法代替脱贫户（防贫监测户）签订协议。社会发展局、脱贫户（防贫监测户）所在乡街和村集体负责全程做好文件资料的收集整理和归档工作，确保档案资料齐全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2"/>
          <w:rFonts w:hint="default" w:ascii="黑体" w:hAnsi="黑体" w:eastAsia="黑体" w:cs="黑体"/>
          <w:color w:val="auto"/>
          <w:sz w:val="32"/>
          <w:szCs w:val="32"/>
          <w:lang w:val="en-US" w:eastAsia="zh-CN"/>
        </w:rPr>
      </w:pPr>
      <w:r>
        <w:rPr>
          <w:rStyle w:val="12"/>
          <w:rFonts w:hint="eastAsia" w:ascii="黑体" w:hAnsi="黑体" w:eastAsia="黑体" w:cs="黑体"/>
          <w:color w:val="auto"/>
          <w:sz w:val="32"/>
          <w:szCs w:val="32"/>
          <w:lang w:eastAsia="zh-CN"/>
        </w:rPr>
        <w:t>六</w:t>
      </w:r>
      <w:r>
        <w:rPr>
          <w:rStyle w:val="12"/>
          <w:rFonts w:hint="eastAsia" w:ascii="黑体" w:hAnsi="黑体" w:eastAsia="黑体" w:cs="黑体"/>
          <w:color w:val="auto"/>
          <w:sz w:val="32"/>
          <w:szCs w:val="32"/>
        </w:rPr>
        <w:t>、</w:t>
      </w:r>
      <w:r>
        <w:rPr>
          <w:rStyle w:val="12"/>
          <w:rFonts w:hint="eastAsia" w:ascii="黑体" w:hAnsi="黑体" w:eastAsia="黑体" w:cs="黑体"/>
          <w:color w:val="auto"/>
          <w:sz w:val="32"/>
          <w:szCs w:val="32"/>
          <w:lang w:val="en-US" w:eastAsia="zh-CN"/>
        </w:rPr>
        <w:t>保障措施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（一）</w:t>
      </w:r>
      <w:r>
        <w:rPr>
          <w:rFonts w:hint="eastAsia" w:ascii="Times New Roman" w:hAnsi="Times New Roman" w:eastAsia="楷体_GB2312" w:cs="Times New Roman"/>
          <w:b w:val="0"/>
          <w:bCs w:val="0"/>
          <w:color w:val="auto"/>
          <w:sz w:val="32"/>
          <w:szCs w:val="32"/>
          <w:lang w:val="en-US" w:eastAsia="zh-CN"/>
        </w:rPr>
        <w:t>加强</w:t>
      </w:r>
      <w:r>
        <w:rPr>
          <w:rFonts w:hint="default" w:ascii="Times New Roman" w:hAnsi="Times New Roman" w:eastAsia="楷体_GB2312" w:cs="Times New Roman"/>
          <w:b w:val="0"/>
          <w:bCs w:val="0"/>
          <w:color w:val="auto"/>
          <w:sz w:val="32"/>
          <w:szCs w:val="32"/>
          <w:lang w:val="en-US" w:eastAsia="zh-CN"/>
        </w:rPr>
        <w:t>组织领导</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color w:val="auto"/>
          <w:sz w:val="32"/>
          <w:szCs w:val="32"/>
        </w:rPr>
        <w:t>组建工委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管委主管领导任组长，党</w:t>
      </w:r>
      <w:r>
        <w:rPr>
          <w:rFonts w:hint="eastAsia" w:ascii="Times New Roman" w:hAnsi="Times New Roman" w:eastAsia="仿宋_GB2312" w:cs="Times New Roman"/>
          <w:color w:val="auto"/>
          <w:sz w:val="32"/>
          <w:szCs w:val="32"/>
          <w:lang w:val="en-US" w:eastAsia="zh-CN"/>
        </w:rPr>
        <w:t>群</w:t>
      </w:r>
      <w:r>
        <w:rPr>
          <w:rFonts w:hint="default" w:ascii="Times New Roman" w:hAnsi="Times New Roman" w:eastAsia="仿宋_GB2312" w:cs="Times New Roman"/>
          <w:color w:val="auto"/>
          <w:sz w:val="32"/>
          <w:szCs w:val="32"/>
        </w:rPr>
        <w:t>工作部、</w:t>
      </w:r>
      <w:r>
        <w:rPr>
          <w:rFonts w:hint="eastAsia" w:ascii="Times New Roman" w:hAnsi="Times New Roman" w:eastAsia="仿宋_GB2312" w:cs="Times New Roman"/>
          <w:color w:val="auto"/>
          <w:sz w:val="32"/>
          <w:szCs w:val="32"/>
          <w:lang w:val="en-US" w:eastAsia="zh-CN"/>
        </w:rPr>
        <w:t>社会发展局</w:t>
      </w:r>
      <w:r>
        <w:rPr>
          <w:rFonts w:hint="default" w:ascii="Times New Roman" w:hAnsi="Times New Roman" w:eastAsia="仿宋_GB2312" w:cs="Times New Roman"/>
          <w:color w:val="auto"/>
          <w:sz w:val="32"/>
          <w:szCs w:val="32"/>
        </w:rPr>
        <w:t>、财政</w:t>
      </w:r>
      <w:r>
        <w:rPr>
          <w:rFonts w:hint="eastAsia" w:ascii="Times New Roman" w:hAnsi="Times New Roman" w:eastAsia="仿宋_GB2312" w:cs="Times New Roman"/>
          <w:color w:val="auto"/>
          <w:sz w:val="32"/>
          <w:szCs w:val="32"/>
          <w:lang w:eastAsia="zh-CN"/>
        </w:rPr>
        <w:t>金融</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船厂路街道办事处、腾飞路街道办事处</w:t>
      </w:r>
      <w:r>
        <w:rPr>
          <w:rFonts w:hint="default" w:ascii="Times New Roman" w:hAnsi="Times New Roman" w:eastAsia="仿宋_GB2312" w:cs="Times New Roman"/>
          <w:color w:val="auto"/>
          <w:sz w:val="32"/>
          <w:szCs w:val="32"/>
        </w:rPr>
        <w:t>为成员单位的工作专班，</w:t>
      </w:r>
      <w:r>
        <w:rPr>
          <w:rFonts w:hint="eastAsia" w:ascii="Times New Roman" w:hAnsi="Times New Roman" w:eastAsia="仿宋_GB2312" w:cs="Times New Roman"/>
          <w:color w:val="auto"/>
          <w:sz w:val="32"/>
          <w:szCs w:val="32"/>
          <w:lang w:eastAsia="zh-CN"/>
        </w:rPr>
        <w:t>负责项目的组织领导与协调推进，</w:t>
      </w:r>
      <w:r>
        <w:rPr>
          <w:rFonts w:hint="default" w:ascii="Times New Roman" w:hAnsi="Times New Roman" w:eastAsia="仿宋_GB2312" w:cs="Times New Roman"/>
          <w:color w:val="auto"/>
          <w:sz w:val="32"/>
          <w:szCs w:val="32"/>
        </w:rPr>
        <w:t>强化政策研究和工作谋划指导，及时解决发现的问题。</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rPr>
        <w:t>（二）</w:t>
      </w:r>
      <w:r>
        <w:rPr>
          <w:rFonts w:hint="eastAsia" w:ascii="楷体_GB2312" w:hAnsi="楷体_GB2312" w:eastAsia="楷体_GB2312" w:cs="楷体_GB2312"/>
          <w:b w:val="0"/>
          <w:bCs w:val="0"/>
          <w:color w:val="auto"/>
          <w:kern w:val="0"/>
          <w:sz w:val="32"/>
          <w:szCs w:val="32"/>
          <w:lang w:val="en-US" w:eastAsia="zh-CN" w:bidi="ar-SA"/>
        </w:rPr>
        <w:t>压实部门责任。</w:t>
      </w:r>
      <w:r>
        <w:rPr>
          <w:rFonts w:hint="eastAsia" w:ascii="Times New Roman" w:hAnsi="Times New Roman" w:eastAsia="仿宋_GB2312" w:cs="Times New Roman"/>
          <w:color w:val="auto"/>
          <w:sz w:val="32"/>
          <w:szCs w:val="32"/>
          <w:lang w:val="en-US" w:eastAsia="zh-CN"/>
        </w:rPr>
        <w:t>社会发展局和党群工作部负责具体推动、确定村集体经济项目扶持规模，做好统筹协调、调研督导，加强对村党组织建设、人才培训、政策宣传等方面的指导；财政金融局落实衔接资金投入、强化资金监督管理，确保专项资金安全高效；船厂路街道办事处、腾飞路街道办事处负责具体组织实施；各成员单位要各司其职、各负其责，加强协调配合，努力形成合力。</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color w:val="auto"/>
          <w:lang w:val="en-US" w:eastAsia="zh-CN"/>
        </w:rPr>
      </w:pPr>
      <w:r>
        <w:rPr>
          <w:rFonts w:hint="default" w:ascii="Times New Roman" w:hAnsi="Times New Roman" w:eastAsia="楷体_GB2312" w:cs="Times New Roman"/>
          <w:b w:val="0"/>
          <w:bCs w:val="0"/>
          <w:color w:val="auto"/>
          <w:sz w:val="32"/>
          <w:szCs w:val="32"/>
        </w:rPr>
        <w:t>（</w:t>
      </w:r>
      <w:r>
        <w:rPr>
          <w:rFonts w:hint="eastAsia"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w:t>
      </w:r>
      <w:r>
        <w:rPr>
          <w:rFonts w:hint="eastAsia" w:ascii="楷体_GB2312" w:hAnsi="楷体_GB2312" w:eastAsia="楷体_GB2312" w:cs="楷体_GB2312"/>
          <w:b w:val="0"/>
          <w:bCs w:val="0"/>
          <w:color w:val="auto"/>
          <w:kern w:val="0"/>
          <w:sz w:val="32"/>
          <w:szCs w:val="32"/>
          <w:lang w:val="en-US" w:eastAsia="zh-CN" w:bidi="ar-SA"/>
        </w:rPr>
        <w:t>强化监督管理。</w:t>
      </w:r>
      <w:r>
        <w:rPr>
          <w:rFonts w:hint="eastAsia" w:ascii="Times New Roman" w:hAnsi="Times New Roman" w:eastAsia="仿宋_GB2312" w:cs="Times New Roman"/>
          <w:color w:val="auto"/>
          <w:sz w:val="32"/>
          <w:szCs w:val="32"/>
          <w:lang w:val="en-US" w:eastAsia="zh-CN"/>
        </w:rPr>
        <w:t>各成员单位要落实好公开公示制度，确保群众的知情权、监督权，自觉</w:t>
      </w:r>
      <w:r>
        <w:rPr>
          <w:rFonts w:hint="eastAsia" w:ascii="仿宋_GB2312" w:hAnsi="仿宋_GB2312" w:eastAsia="仿宋_GB2312" w:cs="仿宋_GB2312"/>
          <w:color w:val="auto"/>
          <w:sz w:val="32"/>
          <w:szCs w:val="32"/>
          <w:lang w:val="en-US" w:eastAsia="zh-CN"/>
        </w:rPr>
        <w:t>接受社会监督。对在项目中挤占、挪用、套取财政资金，非法处置国有或集体资产，及其他违法违纪违规行为，按照有关规定严肃查处。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2"/>
          <w:rFonts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both"/>
        <w:textAlignment w:val="auto"/>
        <w:rPr>
          <w:rStyle w:val="12"/>
          <w:rFonts w:hint="eastAsia" w:ascii="仿宋_GB2312" w:hAnsi="仿宋_GB2312" w:eastAsia="仿宋_GB2312" w:cs="仿宋_GB2312"/>
          <w:color w:val="auto"/>
          <w:sz w:val="32"/>
          <w:szCs w:val="32"/>
          <w:lang w:val="en-US" w:eastAsia="zh-CN"/>
        </w:rPr>
      </w:pPr>
      <w:r>
        <w:rPr>
          <w:rStyle w:val="12"/>
          <w:rFonts w:hint="eastAsia" w:ascii="仿宋_GB2312" w:hAnsi="仿宋_GB2312" w:eastAsia="仿宋_GB2312" w:cs="仿宋_GB2312"/>
          <w:color w:val="auto"/>
          <w:sz w:val="32"/>
          <w:szCs w:val="32"/>
          <w:lang w:val="en-US" w:eastAsia="zh-CN"/>
        </w:rPr>
        <w:t>附件：1.秦皇岛经济技术开发区扶持新型农村集体经济项目工作专班组成人员调整名单</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Style w:val="12"/>
          <w:rFonts w:hint="eastAsia" w:ascii="仿宋_GB2312" w:hAnsi="仿宋_GB2312" w:eastAsia="仿宋_GB2312" w:cs="仿宋_GB2312"/>
          <w:color w:val="auto"/>
          <w:sz w:val="32"/>
          <w:szCs w:val="32"/>
          <w:lang w:val="en-US" w:eastAsia="zh-CN"/>
        </w:rPr>
      </w:pPr>
      <w:r>
        <w:rPr>
          <w:rStyle w:val="12"/>
          <w:rFonts w:hint="eastAsia" w:ascii="仿宋_GB2312" w:hAnsi="仿宋_GB2312" w:eastAsia="仿宋_GB2312" w:cs="仿宋_GB2312"/>
          <w:color w:val="auto"/>
          <w:sz w:val="32"/>
          <w:szCs w:val="32"/>
          <w:lang w:val="en-US" w:eastAsia="zh-CN"/>
        </w:rPr>
        <w:t>2.秦皇岛经济技术开发区2025年财政衔接推进乡村振兴补助资金项目实施计划表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color w:val="auto"/>
          <w:sz w:val="32"/>
          <w:szCs w:val="32"/>
        </w:rPr>
      </w:pPr>
      <w:r>
        <w:rPr>
          <w:rFonts w:ascii="仿宋" w:hAnsi="仿宋" w:eastAsia="仿宋"/>
          <w:color w:val="auto"/>
          <w:sz w:val="32"/>
          <w:szCs w:val="32"/>
        </w:rPr>
        <w:br w:type="page"/>
      </w:r>
    </w:p>
    <w:p>
      <w:p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jc w:val="left"/>
        <w:rPr>
          <w:rFonts w:hint="eastAsia" w:ascii="仿宋" w:hAnsi="仿宋" w:eastAsia="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秦皇岛经济技术开发区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20"/>
          <w:sz w:val="44"/>
          <w:szCs w:val="44"/>
          <w:lang w:val="en-US" w:eastAsia="zh-CN"/>
        </w:rPr>
      </w:pPr>
      <w:r>
        <w:rPr>
          <w:rFonts w:hint="eastAsia" w:ascii="方正小标宋简体" w:hAnsi="方正小标宋简体" w:eastAsia="方正小标宋简体" w:cs="方正小标宋简体"/>
          <w:color w:val="auto"/>
          <w:spacing w:val="-20"/>
          <w:sz w:val="44"/>
          <w:szCs w:val="44"/>
          <w:lang w:val="en-US" w:eastAsia="zh-CN"/>
        </w:rPr>
        <w:t>扶持新型农村集体经济项目工作专班组成人员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20"/>
          <w:sz w:val="44"/>
          <w:szCs w:val="44"/>
          <w:lang w:val="en-US" w:eastAsia="zh-CN"/>
        </w:rPr>
      </w:pPr>
      <w:r>
        <w:rPr>
          <w:rFonts w:hint="eastAsia" w:ascii="方正小标宋简体" w:hAnsi="方正小标宋简体" w:eastAsia="方正小标宋简体" w:cs="方正小标宋简体"/>
          <w:color w:val="auto"/>
          <w:spacing w:val="-20"/>
          <w:sz w:val="44"/>
          <w:szCs w:val="44"/>
          <w:lang w:val="en-US" w:eastAsia="zh-CN"/>
        </w:rPr>
        <w:t>调整名单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组  长：高春复     党工委委员、管委会副主任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副组长：宋文铁     党工委委员、党群工作部部长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赵宝潭     社会发展局局长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樊旭东     财政金融局局长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成  员：万  悦     社会发展局副局长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王  剑     社会发展局农业农村科科长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杨居前     财政金融局行财科科长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赵晓壮     党群工作部编办副主任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韩志杰     船厂路街道党工委书记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谷玉强     腾飞路街道党工委书记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sectPr>
          <w:footerReference r:id="rId3" w:type="default"/>
          <w:footerReference r:id="rId4" w:type="even"/>
          <w:pgSz w:w="11906" w:h="16838"/>
          <w:pgMar w:top="2154" w:right="1474" w:bottom="1984" w:left="1588" w:header="851" w:footer="992" w:gutter="0"/>
          <w:pgNumType w:fmt="numberInDash"/>
          <w:cols w:space="425" w:num="1"/>
          <w:docGrid w:type="lines" w:linePitch="312" w:charSpace="0"/>
        </w:sectPr>
      </w:pPr>
      <w:r>
        <w:rPr>
          <w:rFonts w:hint="eastAsia" w:ascii="仿宋_GB2312" w:hAnsi="仿宋_GB2312" w:eastAsia="仿宋_GB2312" w:cs="仿宋_GB2312"/>
          <w:color w:val="auto"/>
          <w:spacing w:val="0"/>
          <w:sz w:val="32"/>
          <w:szCs w:val="32"/>
          <w:lang w:val="en-US" w:eastAsia="zh-CN"/>
        </w:rPr>
        <w:t>工作专班的主要职责：认真贯彻落实中央和省、市关于扶持新型农村集体经济的部署要求，谋划提出全区扶持新型农村集体经济项目方案，研究解决推进过程中的问题，对扶持新型农村集体经济项目进行调度指导、督促检查。</w:t>
      </w:r>
    </w:p>
    <w:tbl>
      <w:tblPr>
        <w:tblStyle w:val="9"/>
        <w:tblW w:w="149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
        <w:gridCol w:w="329"/>
        <w:gridCol w:w="392"/>
        <w:gridCol w:w="133"/>
        <w:gridCol w:w="563"/>
        <w:gridCol w:w="25"/>
        <w:gridCol w:w="675"/>
        <w:gridCol w:w="387"/>
        <w:gridCol w:w="880"/>
        <w:gridCol w:w="420"/>
        <w:gridCol w:w="400"/>
        <w:gridCol w:w="1050"/>
        <w:gridCol w:w="675"/>
        <w:gridCol w:w="1325"/>
        <w:gridCol w:w="688"/>
        <w:gridCol w:w="625"/>
        <w:gridCol w:w="862"/>
        <w:gridCol w:w="838"/>
        <w:gridCol w:w="825"/>
        <w:gridCol w:w="1325"/>
        <w:gridCol w:w="825"/>
        <w:gridCol w:w="721"/>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7"/>
          <w:wBefore w:w="93" w:type="dxa"/>
          <w:wAfter w:w="13393" w:type="dxa"/>
          <w:trHeight w:val="612" w:hRule="atLeast"/>
        </w:trPr>
        <w:tc>
          <w:tcPr>
            <w:tcW w:w="721"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eastAsia="zh-CN"/>
              </w:rPr>
            </w:pPr>
            <w:r>
              <w:rPr>
                <w:rFonts w:hint="eastAsia" w:ascii="黑体" w:hAnsi="黑体" w:eastAsia="黑体" w:cs="黑体"/>
                <w:i w:val="0"/>
                <w:color w:val="auto"/>
                <w:sz w:val="22"/>
                <w:szCs w:val="22"/>
                <w:u w:val="none"/>
                <w:lang w:val="en-US" w:eastAsia="zh-CN"/>
              </w:rPr>
              <w:t>附件2：</w:t>
            </w:r>
          </w:p>
        </w:tc>
        <w:tc>
          <w:tcPr>
            <w:tcW w:w="721" w:type="dxa"/>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黑体" w:hAnsi="黑体" w:eastAsia="黑体" w:cs="黑体"/>
                <w:i w:val="0"/>
                <w:color w:val="auto"/>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93" w:type="dxa"/>
          <w:wAfter w:w="872" w:type="dxa"/>
          <w:trHeight w:val="90" w:hRule="atLeast"/>
        </w:trPr>
        <w:tc>
          <w:tcPr>
            <w:tcW w:w="13242" w:type="dxa"/>
            <w:gridSpan w:val="2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auto"/>
                <w:sz w:val="44"/>
                <w:szCs w:val="44"/>
                <w:u w:val="none"/>
                <w:lang w:val="en-US" w:eastAsia="zh-CN"/>
              </w:rPr>
            </w:pPr>
            <w:r>
              <w:rPr>
                <w:rFonts w:hint="eastAsia" w:ascii="方正小标宋简体" w:hAnsi="方正小标宋简体" w:eastAsia="方正小标宋简体" w:cs="方正小标宋简体"/>
                <w:i w:val="0"/>
                <w:color w:val="auto"/>
                <w:sz w:val="44"/>
                <w:szCs w:val="44"/>
                <w:u w:val="none"/>
                <w:lang w:val="en-US" w:eastAsia="zh-CN"/>
              </w:rPr>
              <w:t>秦皇岛经济技术开发区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color w:val="auto"/>
                <w:sz w:val="22"/>
                <w:szCs w:val="22"/>
                <w:u w:val="none"/>
              </w:rPr>
            </w:pPr>
            <w:r>
              <w:rPr>
                <w:rFonts w:hint="eastAsia" w:ascii="方正小标宋简体" w:hAnsi="方正小标宋简体" w:eastAsia="方正小标宋简体" w:cs="方正小标宋简体"/>
                <w:i w:val="0"/>
                <w:color w:val="auto"/>
                <w:sz w:val="44"/>
                <w:szCs w:val="44"/>
                <w:u w:val="none"/>
                <w:lang w:val="en-US" w:eastAsia="zh-CN"/>
              </w:rPr>
              <w:t>2025年财政推进乡村振兴补助资金项目实施计划表</w:t>
            </w:r>
          </w:p>
        </w:tc>
        <w:tc>
          <w:tcPr>
            <w:tcW w:w="72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auto"/>
                <w:sz w:val="44"/>
                <w:szCs w:val="4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2" w:hRule="atLeast"/>
          <w:jc w:val="center"/>
        </w:trPr>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序号</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市</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县（市、区）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0"/>
                <w:szCs w:val="20"/>
                <w:u w:val="none"/>
                <w:lang w:val="en-US"/>
              </w:rPr>
            </w:pPr>
            <w:r>
              <w:rPr>
                <w:rFonts w:hint="eastAsia" w:ascii="仿宋_GB2312" w:hAnsi="仿宋_GB2312" w:eastAsia="仿宋_GB2312" w:cs="仿宋_GB2312"/>
                <w:i w:val="0"/>
                <w:color w:val="auto"/>
                <w:kern w:val="0"/>
                <w:sz w:val="20"/>
                <w:szCs w:val="20"/>
                <w:u w:val="none"/>
                <w:lang w:val="en-US" w:eastAsia="zh-CN" w:bidi="ar"/>
              </w:rPr>
              <w:t>乡街</w:t>
            </w:r>
          </w:p>
        </w:tc>
        <w:tc>
          <w:tcPr>
            <w:tcW w:w="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村</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项目名称</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项目类型</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建设性质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项目内容及建设规模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实施地点</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投资概算及筹资方式（万元）</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建设期限</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受益户数人数</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其中：扶持带动脱贫户户数人数</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其中：扶持带动监测对象户数人数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行业主管部门</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绩效目标</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群众参与和联农带农机制</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color w:val="000000"/>
                <w:kern w:val="0"/>
                <w:sz w:val="20"/>
                <w:szCs w:val="20"/>
                <w:lang w:val="en-US" w:eastAsia="zh-CN" w:bidi="ar"/>
              </w:rPr>
              <w:t>后期管护及责任人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2" w:hRule="atLeast"/>
          <w:jc w:val="center"/>
        </w:trPr>
        <w:tc>
          <w:tcPr>
            <w:tcW w:w="422" w:type="dxa"/>
            <w:gridSpan w:val="2"/>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1</w:t>
            </w:r>
          </w:p>
        </w:tc>
        <w:tc>
          <w:tcPr>
            <w:tcW w:w="525" w:type="dxa"/>
            <w:gridSpan w:val="2"/>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秦皇岛市</w:t>
            </w:r>
          </w:p>
        </w:tc>
        <w:tc>
          <w:tcPr>
            <w:tcW w:w="563"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经开区</w:t>
            </w:r>
          </w:p>
        </w:tc>
        <w:tc>
          <w:tcPr>
            <w:tcW w:w="700" w:type="dxa"/>
            <w:gridSpan w:val="2"/>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船厂路、腾飞路街道办事处</w:t>
            </w:r>
          </w:p>
        </w:tc>
        <w:tc>
          <w:tcPr>
            <w:tcW w:w="387"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rPr>
            </w:pPr>
          </w:p>
        </w:tc>
        <w:tc>
          <w:tcPr>
            <w:tcW w:w="880"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泰盛城市环境工程有限公司资产收益项目</w:t>
            </w:r>
          </w:p>
        </w:tc>
        <w:tc>
          <w:tcPr>
            <w:tcW w:w="420"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产业项目</w:t>
            </w:r>
          </w:p>
        </w:tc>
        <w:tc>
          <w:tcPr>
            <w:tcW w:w="400"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新建</w:t>
            </w:r>
          </w:p>
        </w:tc>
        <w:tc>
          <w:tcPr>
            <w:tcW w:w="1050"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将财政衔接资金28万元投入相关企业，脱贫户（防贫监测户）享受收益</w:t>
            </w:r>
          </w:p>
        </w:tc>
        <w:tc>
          <w:tcPr>
            <w:tcW w:w="675" w:type="dxa"/>
            <w:tcBorders>
              <w:top w:val="nil"/>
              <w:left w:val="single" w:color="000000" w:sz="4" w:space="0"/>
              <w:bottom w:val="single" w:color="000000" w:sz="4" w:space="0"/>
              <w:right w:val="single" w:color="000000" w:sz="4" w:space="0"/>
            </w:tcBorders>
            <w:shd w:val="clear" w:color="auto" w:fill="auto"/>
            <w:noWrap w:val="0"/>
            <w:vAlign w:val="center"/>
          </w:tcPr>
          <w:p>
            <w:pPr>
              <w:jc w:val="both"/>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泰盛城市环境工程有限公司</w:t>
            </w:r>
          </w:p>
        </w:tc>
        <w:tc>
          <w:tcPr>
            <w:tcW w:w="1325"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共投入财政衔接资金28万元（省级衔接资金5万元，区级衔接资金23万元）</w:t>
            </w:r>
          </w:p>
        </w:tc>
        <w:tc>
          <w:tcPr>
            <w:tcW w:w="688"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2025年</w:t>
            </w:r>
          </w:p>
        </w:tc>
        <w:tc>
          <w:tcPr>
            <w:tcW w:w="625"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4户7人</w:t>
            </w:r>
          </w:p>
        </w:tc>
        <w:tc>
          <w:tcPr>
            <w:tcW w:w="862"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3户5人</w:t>
            </w:r>
            <w:bookmarkStart w:id="0" w:name="_GoBack"/>
            <w:bookmarkEnd w:id="0"/>
          </w:p>
        </w:tc>
        <w:tc>
          <w:tcPr>
            <w:tcW w:w="838"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1户2人</w:t>
            </w:r>
          </w:p>
        </w:tc>
        <w:tc>
          <w:tcPr>
            <w:tcW w:w="825"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秦皇岛经济技术开发区社会发展局</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 xml:space="preserve">每人增收1600元以上 </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0"/>
                <w:szCs w:val="20"/>
                <w:u w:val="none"/>
                <w:lang w:val="en-US" w:eastAsia="zh-CN"/>
              </w:rPr>
              <w:t>通过采取入股分红方式，实施产业帮扶项目，按总投资6%的收益比例分红，增加建档立卡脱贫人口和防贫监测户收入。</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000000"/>
                <w:sz w:val="20"/>
                <w:szCs w:val="20"/>
              </w:rPr>
              <w:t>秦皇岛</w:t>
            </w:r>
            <w:r>
              <w:rPr>
                <w:rFonts w:hint="eastAsia" w:ascii="仿宋_GB2312" w:hAnsi="仿宋_GB2312" w:eastAsia="仿宋_GB2312" w:cs="仿宋_GB2312"/>
                <w:color w:val="000000"/>
                <w:sz w:val="20"/>
                <w:szCs w:val="20"/>
                <w:lang w:eastAsia="zh-CN"/>
              </w:rPr>
              <w:t>经济</w:t>
            </w:r>
            <w:r>
              <w:rPr>
                <w:rFonts w:hint="eastAsia" w:ascii="仿宋_GB2312" w:hAnsi="仿宋_GB2312" w:eastAsia="仿宋_GB2312" w:cs="仿宋_GB2312"/>
                <w:color w:val="000000"/>
                <w:sz w:val="20"/>
                <w:szCs w:val="20"/>
              </w:rPr>
              <w:t>技术开发区</w:t>
            </w:r>
            <w:r>
              <w:rPr>
                <w:rFonts w:hint="eastAsia" w:ascii="仿宋_GB2312" w:hAnsi="仿宋_GB2312" w:eastAsia="仿宋_GB2312" w:cs="仿宋_GB2312"/>
                <w:color w:val="000000"/>
                <w:sz w:val="20"/>
                <w:szCs w:val="20"/>
                <w:lang w:eastAsia="zh-CN"/>
              </w:rPr>
              <w:t>社会发展局，王剑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4" w:hRule="atLeast"/>
          <w:jc w:val="center"/>
        </w:trPr>
        <w:tc>
          <w:tcPr>
            <w:tcW w:w="4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2</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秦皇岛市</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经开区</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船厂路街道办事处</w:t>
            </w:r>
          </w:p>
        </w:tc>
        <w:tc>
          <w:tcPr>
            <w:tcW w:w="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color w:val="auto"/>
                <w:sz w:val="20"/>
                <w:szCs w:val="20"/>
                <w:lang w:val="en-US" w:eastAsia="zh-CN"/>
              </w:rPr>
              <w:t>太和寨村</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太和寨村集体经济门市房建设项目</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产业项目</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改建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利用村委会老旧房屋，翻修改建成临街门市房约400平米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太和寨村村委会</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rPr>
              <w:t>投入</w:t>
            </w:r>
            <w:r>
              <w:rPr>
                <w:rFonts w:hint="eastAsia" w:ascii="仿宋_GB2312" w:hAnsi="仿宋_GB2312" w:eastAsia="仿宋_GB2312" w:cs="仿宋_GB2312"/>
                <w:color w:val="auto"/>
                <w:sz w:val="20"/>
                <w:szCs w:val="20"/>
                <w:lang w:eastAsia="zh-CN"/>
              </w:rPr>
              <w:t>中央</w:t>
            </w:r>
            <w:r>
              <w:rPr>
                <w:rFonts w:hint="eastAsia" w:ascii="仿宋_GB2312" w:hAnsi="仿宋_GB2312" w:eastAsia="仿宋_GB2312" w:cs="仿宋_GB2312"/>
                <w:color w:val="auto"/>
                <w:sz w:val="20"/>
                <w:szCs w:val="20"/>
              </w:rPr>
              <w:t>财政衔接资金</w:t>
            </w:r>
            <w:r>
              <w:rPr>
                <w:rFonts w:hint="eastAsia" w:ascii="仿宋_GB2312" w:hAnsi="仿宋_GB2312" w:eastAsia="仿宋_GB2312" w:cs="仿宋_GB2312"/>
                <w:color w:val="auto"/>
                <w:sz w:val="20"/>
                <w:szCs w:val="20"/>
                <w:lang w:val="en-US" w:eastAsia="zh-CN"/>
              </w:rPr>
              <w:t>50</w:t>
            </w:r>
            <w:r>
              <w:rPr>
                <w:rFonts w:hint="eastAsia" w:ascii="仿宋_GB2312" w:hAnsi="仿宋_GB2312" w:eastAsia="仿宋_GB2312" w:cs="仿宋_GB2312"/>
                <w:color w:val="auto"/>
                <w:sz w:val="20"/>
                <w:szCs w:val="20"/>
              </w:rPr>
              <w:t>万元</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lang w:val="en-US" w:eastAsia="zh-CN"/>
              </w:rPr>
              <w:t>村级自筹资金5万元</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2025年</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1822户</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1户</w:t>
            </w:r>
          </w:p>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2人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秦皇岛经济技术开发区社会发展局</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利用村委会老旧房屋翻修改建成临街门市房对外出租，收取租金，壮大集体经济。</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color w:val="auto"/>
                <w:sz w:val="20"/>
                <w:szCs w:val="20"/>
                <w:lang w:val="en-US" w:eastAsia="zh-CN"/>
              </w:rPr>
              <w:t>以对外出租门市房盈利，提高村集体经济，带动群众就近就业，增加群众收入。</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000000"/>
                <w:sz w:val="20"/>
                <w:szCs w:val="20"/>
              </w:rPr>
              <w:t>秦皇岛</w:t>
            </w:r>
            <w:r>
              <w:rPr>
                <w:rFonts w:hint="eastAsia" w:ascii="仿宋_GB2312" w:hAnsi="仿宋_GB2312" w:eastAsia="仿宋_GB2312" w:cs="仿宋_GB2312"/>
                <w:color w:val="000000"/>
                <w:sz w:val="20"/>
                <w:szCs w:val="20"/>
                <w:lang w:eastAsia="zh-CN"/>
              </w:rPr>
              <w:t>经济</w:t>
            </w:r>
            <w:r>
              <w:rPr>
                <w:rFonts w:hint="eastAsia" w:ascii="仿宋_GB2312" w:hAnsi="仿宋_GB2312" w:eastAsia="仿宋_GB2312" w:cs="仿宋_GB2312"/>
                <w:color w:val="000000"/>
                <w:sz w:val="20"/>
                <w:szCs w:val="20"/>
              </w:rPr>
              <w:t>技术开发区</w:t>
            </w:r>
            <w:r>
              <w:rPr>
                <w:rFonts w:hint="eastAsia" w:ascii="仿宋_GB2312" w:hAnsi="仿宋_GB2312" w:eastAsia="仿宋_GB2312" w:cs="仿宋_GB2312"/>
                <w:color w:val="000000"/>
                <w:sz w:val="20"/>
                <w:szCs w:val="20"/>
                <w:lang w:eastAsia="zh-CN"/>
              </w:rPr>
              <w:t>社会发展局，王剑</w:t>
            </w:r>
          </w:p>
        </w:tc>
      </w:tr>
    </w:tbl>
    <w:p>
      <w:pPr>
        <w:jc w:val="left"/>
        <w:rPr>
          <w:rFonts w:ascii="仿宋" w:hAnsi="仿宋" w:eastAsia="仿宋"/>
          <w:color w:val="auto"/>
          <w:sz w:val="32"/>
          <w:szCs w:val="32"/>
        </w:rPr>
        <w:sectPr>
          <w:pgSz w:w="16838" w:h="11906" w:orient="landscape"/>
          <w:pgMar w:top="1588" w:right="1440" w:bottom="1474" w:left="1440" w:header="851" w:footer="992" w:gutter="0"/>
          <w:pgNumType w:fmt="numberInDash"/>
          <w:cols w:space="425" w:num="1"/>
          <w:docGrid w:type="lines" w:linePitch="312" w:charSpace="0"/>
        </w:sect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hint="eastAsia" w:ascii="仿宋_GB2312" w:hAnsi="仿宋_GB2312" w:eastAsia="仿宋_GB2312" w:cs="仿宋_GB2312"/>
          <w:color w:val="auto"/>
          <w:spacing w:val="-23"/>
          <w:w w:val="95"/>
          <w:sz w:val="28"/>
          <w:szCs w:val="28"/>
        </w:rPr>
      </w:pPr>
    </w:p>
    <w:p>
      <w:pPr>
        <w:rPr>
          <w:rFonts w:ascii="仿宋" w:hAnsi="仿宋" w:eastAsia="仿宋"/>
          <w:color w:val="auto"/>
          <w:spacing w:val="-44"/>
          <w:sz w:val="32"/>
          <w:szCs w:val="32"/>
        </w:rPr>
      </w:pPr>
    </w:p>
    <w:sectPr>
      <w:footerReference r:id="rId5" w:type="default"/>
      <w:footerReference r:id="rId6"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1" w:csb1="00000000"/>
  </w:font>
  <w:font w:name="E-BZ">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FZXBSK--GBK1-0">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5317498"/>
                          </w:sdtPr>
                          <w:sdtContent>
                            <w:p>
                              <w:pPr>
                                <w:pStyle w:val="5"/>
                                <w:jc w:val="right"/>
                              </w:pPr>
                              <w:r>
                                <w:fldChar w:fldCharType="begin"/>
                              </w:r>
                              <w:r>
                                <w:instrText xml:space="preserve">PAGE   \* MERGEFORMAT</w:instrText>
                              </w:r>
                              <w:r>
                                <w:fldChar w:fldCharType="separate"/>
                              </w:r>
                              <w:r>
                                <w:rPr>
                                  <w:lang w:val="zh-CN"/>
                                </w:rPr>
                                <w:t>-</w:t>
                              </w:r>
                              <w:r>
                                <w:t xml:space="preserve"> 1 -</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55317498"/>
                    </w:sdtPr>
                    <w:sdtContent>
                      <w:p>
                        <w:pPr>
                          <w:pStyle w:val="5"/>
                          <w:jc w:val="right"/>
                        </w:pPr>
                        <w:r>
                          <w:fldChar w:fldCharType="begin"/>
                        </w:r>
                        <w:r>
                          <w:instrText xml:space="preserve">PAGE   \* MERGEFORMAT</w:instrText>
                        </w:r>
                        <w:r>
                          <w:fldChar w:fldCharType="separate"/>
                        </w:r>
                        <w:r>
                          <w:rPr>
                            <w:lang w:val="zh-CN"/>
                          </w:rPr>
                          <w:t>-</w:t>
                        </w:r>
                        <w:r>
                          <w:t xml:space="preserve"> 1 -</w:t>
                        </w:r>
                        <w:r>
                          <w:fldChar w:fldCharType="end"/>
                        </w:r>
                      </w:p>
                    </w:sdtContent>
                  </w:sdt>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5789148"/>
    </w:sdtPr>
    <w:sdtContent>
      <w:p>
        <w:pPr>
          <w:pStyle w:val="5"/>
        </w:pPr>
        <w:r>
          <w:fldChar w:fldCharType="begin"/>
        </w:r>
        <w:r>
          <w:instrText xml:space="preserve">PAGE   \* MERGEFORMAT</w:instrText>
        </w:r>
        <w:r>
          <w:fldChar w:fldCharType="separate"/>
        </w:r>
        <w:r>
          <w:rPr>
            <w:lang w:val="zh-CN"/>
          </w:rPr>
          <w:t>-</w:t>
        </w:r>
        <w:r>
          <w:t xml:space="preserve"> 2 -</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517"/>
                          </w:sdtPr>
                          <w:sdtContent>
                            <w:p>
                              <w:pPr>
                                <w:pStyle w:val="5"/>
                                <w:jc w:val="right"/>
                              </w:pPr>
                              <w:r>
                                <w:fldChar w:fldCharType="begin"/>
                              </w:r>
                              <w:r>
                                <w:instrText xml:space="preserve">PAGE   \* MERGEFORMAT</w:instrText>
                              </w:r>
                              <w:r>
                                <w:fldChar w:fldCharType="separate"/>
                              </w:r>
                              <w:r>
                                <w:rPr>
                                  <w:lang w:val="zh-CN"/>
                                </w:rPr>
                                <w:t>-</w:t>
                              </w:r>
                              <w:r>
                                <w:t xml:space="preserve"> 1 -</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9517"/>
                    </w:sdtPr>
                    <w:sdtContent>
                      <w:p>
                        <w:pPr>
                          <w:pStyle w:val="5"/>
                          <w:jc w:val="right"/>
                        </w:pPr>
                        <w:r>
                          <w:fldChar w:fldCharType="begin"/>
                        </w:r>
                        <w:r>
                          <w:instrText xml:space="preserve">PAGE   \* MERGEFORMAT</w:instrText>
                        </w:r>
                        <w:r>
                          <w:fldChar w:fldCharType="separate"/>
                        </w:r>
                        <w:r>
                          <w:rPr>
                            <w:lang w:val="zh-CN"/>
                          </w:rPr>
                          <w:t>-</w:t>
                        </w:r>
                        <w:r>
                          <w:t xml:space="preserve"> 1 -</w:t>
                        </w:r>
                        <w:r>
                          <w:fldChar w:fldCharType="end"/>
                        </w:r>
                      </w:p>
                    </w:sdtContent>
                  </w:sdt>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191"/>
                          </w:sdtPr>
                          <w:sdtContent>
                            <w:p>
                              <w:pPr>
                                <w:pStyle w:val="5"/>
                              </w:pPr>
                              <w:r>
                                <w:fldChar w:fldCharType="begin"/>
                              </w:r>
                              <w:r>
                                <w:instrText xml:space="preserve">PAGE   \* MERGEFORMAT</w:instrText>
                              </w:r>
                              <w:r>
                                <w:fldChar w:fldCharType="separate"/>
                              </w:r>
                              <w:r>
                                <w:rPr>
                                  <w:lang w:val="zh-CN"/>
                                </w:rPr>
                                <w:t>-</w:t>
                              </w:r>
                              <w:r>
                                <w:t xml:space="preserve"> 2 -</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9191"/>
                    </w:sdtPr>
                    <w:sdtContent>
                      <w:p>
                        <w:pPr>
                          <w:pStyle w:val="5"/>
                        </w:pPr>
                        <w:r>
                          <w:fldChar w:fldCharType="begin"/>
                        </w:r>
                        <w:r>
                          <w:instrText xml:space="preserve">PAGE   \* MERGEFORMAT</w:instrText>
                        </w:r>
                        <w:r>
                          <w:fldChar w:fldCharType="separate"/>
                        </w:r>
                        <w:r>
                          <w:rPr>
                            <w:lang w:val="zh-CN"/>
                          </w:rPr>
                          <w:t>-</w:t>
                        </w:r>
                        <w:r>
                          <w:t xml:space="preserve"> 2 -</w:t>
                        </w:r>
                        <w:r>
                          <w:fldChar w:fldCharType="end"/>
                        </w:r>
                      </w:p>
                    </w:sdtContent>
                  </w:sdt>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7F1D6"/>
    <w:multiLevelType w:val="singleLevel"/>
    <w:tmpl w:val="E0B7F1D6"/>
    <w:lvl w:ilvl="0" w:tentative="0">
      <w:start w:val="3"/>
      <w:numFmt w:val="chineseCounting"/>
      <w:suff w:val="nothing"/>
      <w:lvlText w:val="%1、"/>
      <w:lvlJc w:val="left"/>
      <w:rPr>
        <w:rFonts w:hint="eastAsia"/>
      </w:rPr>
    </w:lvl>
  </w:abstractNum>
  <w:abstractNum w:abstractNumId="1">
    <w:nsid w:val="36A89D24"/>
    <w:multiLevelType w:val="singleLevel"/>
    <w:tmpl w:val="36A89D2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OTJiNzc0OWEyOTkyOGE0NTQ4YzUzMzhhZmFkYWYifQ=="/>
  </w:docVars>
  <w:rsids>
    <w:rsidRoot w:val="004F1807"/>
    <w:rsid w:val="000058FC"/>
    <w:rsid w:val="0002115D"/>
    <w:rsid w:val="00036060"/>
    <w:rsid w:val="000454F4"/>
    <w:rsid w:val="0005759F"/>
    <w:rsid w:val="000834AC"/>
    <w:rsid w:val="00083E86"/>
    <w:rsid w:val="00084E85"/>
    <w:rsid w:val="000E29F5"/>
    <w:rsid w:val="000E5DAF"/>
    <w:rsid w:val="000F528B"/>
    <w:rsid w:val="001072A7"/>
    <w:rsid w:val="0011235D"/>
    <w:rsid w:val="00123857"/>
    <w:rsid w:val="00126BF4"/>
    <w:rsid w:val="00132509"/>
    <w:rsid w:val="001338EB"/>
    <w:rsid w:val="00136BDB"/>
    <w:rsid w:val="0014376C"/>
    <w:rsid w:val="00151BE9"/>
    <w:rsid w:val="00157585"/>
    <w:rsid w:val="00184DD6"/>
    <w:rsid w:val="00186F91"/>
    <w:rsid w:val="0019277A"/>
    <w:rsid w:val="00192D5A"/>
    <w:rsid w:val="001963CD"/>
    <w:rsid w:val="001B0BBC"/>
    <w:rsid w:val="002112BB"/>
    <w:rsid w:val="00221F94"/>
    <w:rsid w:val="00222AB6"/>
    <w:rsid w:val="00231D33"/>
    <w:rsid w:val="0023247E"/>
    <w:rsid w:val="00240F9C"/>
    <w:rsid w:val="00242327"/>
    <w:rsid w:val="00270003"/>
    <w:rsid w:val="00285025"/>
    <w:rsid w:val="002930DF"/>
    <w:rsid w:val="002A218B"/>
    <w:rsid w:val="002B6253"/>
    <w:rsid w:val="002D1289"/>
    <w:rsid w:val="002E4551"/>
    <w:rsid w:val="002E7A64"/>
    <w:rsid w:val="00310575"/>
    <w:rsid w:val="00331E1A"/>
    <w:rsid w:val="0038034B"/>
    <w:rsid w:val="00380AF4"/>
    <w:rsid w:val="003865DC"/>
    <w:rsid w:val="003A0321"/>
    <w:rsid w:val="003E3B0C"/>
    <w:rsid w:val="003E6CC5"/>
    <w:rsid w:val="003F1391"/>
    <w:rsid w:val="003F375A"/>
    <w:rsid w:val="003F7C7F"/>
    <w:rsid w:val="00401A6B"/>
    <w:rsid w:val="004210AD"/>
    <w:rsid w:val="0042332A"/>
    <w:rsid w:val="004477BC"/>
    <w:rsid w:val="00486DBC"/>
    <w:rsid w:val="004922C5"/>
    <w:rsid w:val="00496139"/>
    <w:rsid w:val="004B77FE"/>
    <w:rsid w:val="004C717A"/>
    <w:rsid w:val="004F1807"/>
    <w:rsid w:val="004F29A2"/>
    <w:rsid w:val="004F54DF"/>
    <w:rsid w:val="00505245"/>
    <w:rsid w:val="0050552C"/>
    <w:rsid w:val="005133A3"/>
    <w:rsid w:val="00517193"/>
    <w:rsid w:val="00526B38"/>
    <w:rsid w:val="005319A4"/>
    <w:rsid w:val="00573CF6"/>
    <w:rsid w:val="00592DC3"/>
    <w:rsid w:val="005A3944"/>
    <w:rsid w:val="005C5A87"/>
    <w:rsid w:val="005D029C"/>
    <w:rsid w:val="005D7C51"/>
    <w:rsid w:val="005E414E"/>
    <w:rsid w:val="00616CD9"/>
    <w:rsid w:val="00621057"/>
    <w:rsid w:val="006237C3"/>
    <w:rsid w:val="00625539"/>
    <w:rsid w:val="00650AD5"/>
    <w:rsid w:val="006552A4"/>
    <w:rsid w:val="00662B31"/>
    <w:rsid w:val="00670163"/>
    <w:rsid w:val="00671208"/>
    <w:rsid w:val="00672487"/>
    <w:rsid w:val="0069230E"/>
    <w:rsid w:val="006A32F2"/>
    <w:rsid w:val="007214E5"/>
    <w:rsid w:val="0073746F"/>
    <w:rsid w:val="00747A9E"/>
    <w:rsid w:val="00760FFF"/>
    <w:rsid w:val="00792DEB"/>
    <w:rsid w:val="007D050A"/>
    <w:rsid w:val="007E0E9A"/>
    <w:rsid w:val="007E3487"/>
    <w:rsid w:val="007F0538"/>
    <w:rsid w:val="007F09E7"/>
    <w:rsid w:val="00803269"/>
    <w:rsid w:val="00810E04"/>
    <w:rsid w:val="00814F2B"/>
    <w:rsid w:val="0083743F"/>
    <w:rsid w:val="008401D1"/>
    <w:rsid w:val="00840C6C"/>
    <w:rsid w:val="0085452E"/>
    <w:rsid w:val="00867DF1"/>
    <w:rsid w:val="00871AD5"/>
    <w:rsid w:val="00882938"/>
    <w:rsid w:val="008B603E"/>
    <w:rsid w:val="008B7EE9"/>
    <w:rsid w:val="008D0D01"/>
    <w:rsid w:val="008E303B"/>
    <w:rsid w:val="008F195B"/>
    <w:rsid w:val="009361DF"/>
    <w:rsid w:val="00941F07"/>
    <w:rsid w:val="009659CA"/>
    <w:rsid w:val="00966CB3"/>
    <w:rsid w:val="009765A0"/>
    <w:rsid w:val="00976B30"/>
    <w:rsid w:val="0099552E"/>
    <w:rsid w:val="009A25DC"/>
    <w:rsid w:val="009A560D"/>
    <w:rsid w:val="009B11E6"/>
    <w:rsid w:val="009C4651"/>
    <w:rsid w:val="009D6605"/>
    <w:rsid w:val="009E43F8"/>
    <w:rsid w:val="009F5FDF"/>
    <w:rsid w:val="00A02338"/>
    <w:rsid w:val="00A033DB"/>
    <w:rsid w:val="00A1643F"/>
    <w:rsid w:val="00A27740"/>
    <w:rsid w:val="00A61808"/>
    <w:rsid w:val="00A66D4A"/>
    <w:rsid w:val="00A81C33"/>
    <w:rsid w:val="00A910C5"/>
    <w:rsid w:val="00A9593F"/>
    <w:rsid w:val="00AA7B64"/>
    <w:rsid w:val="00B00573"/>
    <w:rsid w:val="00B1263F"/>
    <w:rsid w:val="00B12B38"/>
    <w:rsid w:val="00B27D00"/>
    <w:rsid w:val="00B353E5"/>
    <w:rsid w:val="00B51C37"/>
    <w:rsid w:val="00B54212"/>
    <w:rsid w:val="00BA72FC"/>
    <w:rsid w:val="00BC2375"/>
    <w:rsid w:val="00BC77F0"/>
    <w:rsid w:val="00C26FBB"/>
    <w:rsid w:val="00C30D00"/>
    <w:rsid w:val="00C3155A"/>
    <w:rsid w:val="00C41593"/>
    <w:rsid w:val="00C46612"/>
    <w:rsid w:val="00C63D9C"/>
    <w:rsid w:val="00C81D72"/>
    <w:rsid w:val="00CE36AA"/>
    <w:rsid w:val="00CE6D48"/>
    <w:rsid w:val="00CF065A"/>
    <w:rsid w:val="00CF1F83"/>
    <w:rsid w:val="00D06F1E"/>
    <w:rsid w:val="00D1517B"/>
    <w:rsid w:val="00D41753"/>
    <w:rsid w:val="00DB4B21"/>
    <w:rsid w:val="00DB6C5F"/>
    <w:rsid w:val="00DC5B9E"/>
    <w:rsid w:val="00DD6E2B"/>
    <w:rsid w:val="00DF6837"/>
    <w:rsid w:val="00DF6D9D"/>
    <w:rsid w:val="00E13371"/>
    <w:rsid w:val="00E232E8"/>
    <w:rsid w:val="00E27969"/>
    <w:rsid w:val="00E315A6"/>
    <w:rsid w:val="00E31CE6"/>
    <w:rsid w:val="00E347C2"/>
    <w:rsid w:val="00E5220C"/>
    <w:rsid w:val="00E55C71"/>
    <w:rsid w:val="00E6185F"/>
    <w:rsid w:val="00E6368F"/>
    <w:rsid w:val="00E70757"/>
    <w:rsid w:val="00E92720"/>
    <w:rsid w:val="00EA671C"/>
    <w:rsid w:val="00EB1051"/>
    <w:rsid w:val="00EE34C5"/>
    <w:rsid w:val="00EF2C69"/>
    <w:rsid w:val="00EF3330"/>
    <w:rsid w:val="00F508C9"/>
    <w:rsid w:val="00F62012"/>
    <w:rsid w:val="00F723CC"/>
    <w:rsid w:val="00F93818"/>
    <w:rsid w:val="00F96504"/>
    <w:rsid w:val="00FB2C5A"/>
    <w:rsid w:val="00FF3CB1"/>
    <w:rsid w:val="012B5576"/>
    <w:rsid w:val="01D03B06"/>
    <w:rsid w:val="03226D0C"/>
    <w:rsid w:val="03C448C7"/>
    <w:rsid w:val="05F15F19"/>
    <w:rsid w:val="064D675F"/>
    <w:rsid w:val="07557695"/>
    <w:rsid w:val="075C6B83"/>
    <w:rsid w:val="07AB1E04"/>
    <w:rsid w:val="07C75B00"/>
    <w:rsid w:val="08E65ADD"/>
    <w:rsid w:val="09254697"/>
    <w:rsid w:val="0965237A"/>
    <w:rsid w:val="0A7A1F94"/>
    <w:rsid w:val="0A952713"/>
    <w:rsid w:val="0C2C1FAA"/>
    <w:rsid w:val="0E71409B"/>
    <w:rsid w:val="107374DA"/>
    <w:rsid w:val="10853E2D"/>
    <w:rsid w:val="12091F2E"/>
    <w:rsid w:val="12456514"/>
    <w:rsid w:val="12D30258"/>
    <w:rsid w:val="131307B0"/>
    <w:rsid w:val="13392CAD"/>
    <w:rsid w:val="140B010B"/>
    <w:rsid w:val="15294C12"/>
    <w:rsid w:val="159B36AC"/>
    <w:rsid w:val="1753299D"/>
    <w:rsid w:val="17546308"/>
    <w:rsid w:val="18904786"/>
    <w:rsid w:val="18A93125"/>
    <w:rsid w:val="18F075EC"/>
    <w:rsid w:val="190529F3"/>
    <w:rsid w:val="19EE47F1"/>
    <w:rsid w:val="1B104DAE"/>
    <w:rsid w:val="1B6202FA"/>
    <w:rsid w:val="1B8E51F8"/>
    <w:rsid w:val="1DAE6DFA"/>
    <w:rsid w:val="1F0908E7"/>
    <w:rsid w:val="20AC2D10"/>
    <w:rsid w:val="20BE2A44"/>
    <w:rsid w:val="20ED3ACF"/>
    <w:rsid w:val="21177800"/>
    <w:rsid w:val="21221A86"/>
    <w:rsid w:val="220E7290"/>
    <w:rsid w:val="224B0307"/>
    <w:rsid w:val="22A04AF7"/>
    <w:rsid w:val="22E64963"/>
    <w:rsid w:val="239B00EF"/>
    <w:rsid w:val="240B5CB0"/>
    <w:rsid w:val="246A251B"/>
    <w:rsid w:val="27F31225"/>
    <w:rsid w:val="280C59E4"/>
    <w:rsid w:val="28E53263"/>
    <w:rsid w:val="2907142C"/>
    <w:rsid w:val="29FA689B"/>
    <w:rsid w:val="2AB078A1"/>
    <w:rsid w:val="2B8723B0"/>
    <w:rsid w:val="2C2B4BF7"/>
    <w:rsid w:val="2D1E1768"/>
    <w:rsid w:val="2E7330BF"/>
    <w:rsid w:val="2EC417E5"/>
    <w:rsid w:val="2F3D5079"/>
    <w:rsid w:val="2F870826"/>
    <w:rsid w:val="2F8B00D3"/>
    <w:rsid w:val="30D70759"/>
    <w:rsid w:val="30DC13F0"/>
    <w:rsid w:val="325E7BE3"/>
    <w:rsid w:val="32DA4711"/>
    <w:rsid w:val="32EE402C"/>
    <w:rsid w:val="358E6A31"/>
    <w:rsid w:val="35D45B70"/>
    <w:rsid w:val="36D230DA"/>
    <w:rsid w:val="37A11E00"/>
    <w:rsid w:val="380E41EB"/>
    <w:rsid w:val="38481119"/>
    <w:rsid w:val="38DA16B7"/>
    <w:rsid w:val="39C74230"/>
    <w:rsid w:val="3A5B11B8"/>
    <w:rsid w:val="3A9F78A8"/>
    <w:rsid w:val="3C026912"/>
    <w:rsid w:val="3D3B307D"/>
    <w:rsid w:val="3D4862ED"/>
    <w:rsid w:val="3DDA6F50"/>
    <w:rsid w:val="3DEB0F05"/>
    <w:rsid w:val="3EB51394"/>
    <w:rsid w:val="3F1D1835"/>
    <w:rsid w:val="404874C8"/>
    <w:rsid w:val="40986C1D"/>
    <w:rsid w:val="419E6427"/>
    <w:rsid w:val="421514F9"/>
    <w:rsid w:val="42666461"/>
    <w:rsid w:val="42870A90"/>
    <w:rsid w:val="42876096"/>
    <w:rsid w:val="43906773"/>
    <w:rsid w:val="442B0E62"/>
    <w:rsid w:val="443C3B60"/>
    <w:rsid w:val="44C85ABB"/>
    <w:rsid w:val="460F1A17"/>
    <w:rsid w:val="46D5626E"/>
    <w:rsid w:val="46E6047B"/>
    <w:rsid w:val="475E2707"/>
    <w:rsid w:val="47934578"/>
    <w:rsid w:val="479A2FC2"/>
    <w:rsid w:val="48E76168"/>
    <w:rsid w:val="49612452"/>
    <w:rsid w:val="49E176C1"/>
    <w:rsid w:val="4AF3760A"/>
    <w:rsid w:val="4BAF7A2E"/>
    <w:rsid w:val="4BB87F0C"/>
    <w:rsid w:val="4BC07BD6"/>
    <w:rsid w:val="4C064557"/>
    <w:rsid w:val="4C5327F1"/>
    <w:rsid w:val="4E202280"/>
    <w:rsid w:val="4F105CAF"/>
    <w:rsid w:val="50645E38"/>
    <w:rsid w:val="51324B68"/>
    <w:rsid w:val="51FF0DA4"/>
    <w:rsid w:val="526B2255"/>
    <w:rsid w:val="546E1F4F"/>
    <w:rsid w:val="55576A6D"/>
    <w:rsid w:val="56A15D66"/>
    <w:rsid w:val="56C64071"/>
    <w:rsid w:val="572A2B91"/>
    <w:rsid w:val="572F19CA"/>
    <w:rsid w:val="573309D3"/>
    <w:rsid w:val="573C40E7"/>
    <w:rsid w:val="58360B36"/>
    <w:rsid w:val="58FF717A"/>
    <w:rsid w:val="5B95768D"/>
    <w:rsid w:val="5C1976F6"/>
    <w:rsid w:val="5C6425CE"/>
    <w:rsid w:val="5C7A1BCF"/>
    <w:rsid w:val="5CB0535B"/>
    <w:rsid w:val="5CBD47A0"/>
    <w:rsid w:val="5D820585"/>
    <w:rsid w:val="5D9F0F2C"/>
    <w:rsid w:val="5E40626B"/>
    <w:rsid w:val="5EE846AD"/>
    <w:rsid w:val="5F182363"/>
    <w:rsid w:val="5F7B20B7"/>
    <w:rsid w:val="5F9E149B"/>
    <w:rsid w:val="608864E5"/>
    <w:rsid w:val="610E11C8"/>
    <w:rsid w:val="61CC28F9"/>
    <w:rsid w:val="621F60CB"/>
    <w:rsid w:val="62E85E08"/>
    <w:rsid w:val="640459A3"/>
    <w:rsid w:val="669058B5"/>
    <w:rsid w:val="66B5531C"/>
    <w:rsid w:val="66DE2AC5"/>
    <w:rsid w:val="67065B78"/>
    <w:rsid w:val="681803D6"/>
    <w:rsid w:val="684C7FBB"/>
    <w:rsid w:val="68623CCE"/>
    <w:rsid w:val="69EB1780"/>
    <w:rsid w:val="6A981BD7"/>
    <w:rsid w:val="6B0E03FF"/>
    <w:rsid w:val="6B61679F"/>
    <w:rsid w:val="6BF40694"/>
    <w:rsid w:val="6BF5384F"/>
    <w:rsid w:val="6C080F02"/>
    <w:rsid w:val="6C5340C8"/>
    <w:rsid w:val="6C5630FD"/>
    <w:rsid w:val="6CB63947"/>
    <w:rsid w:val="6D0417E8"/>
    <w:rsid w:val="6D9201C9"/>
    <w:rsid w:val="6DC8531E"/>
    <w:rsid w:val="6E3371AC"/>
    <w:rsid w:val="6E4E48DC"/>
    <w:rsid w:val="6EFF7A7C"/>
    <w:rsid w:val="6F154D19"/>
    <w:rsid w:val="6F3F2FDE"/>
    <w:rsid w:val="6F697D59"/>
    <w:rsid w:val="6FEB4FED"/>
    <w:rsid w:val="70525627"/>
    <w:rsid w:val="70691651"/>
    <w:rsid w:val="72676064"/>
    <w:rsid w:val="72D80AED"/>
    <w:rsid w:val="73A50094"/>
    <w:rsid w:val="74795BDB"/>
    <w:rsid w:val="74BA06CD"/>
    <w:rsid w:val="75D4756D"/>
    <w:rsid w:val="771816DB"/>
    <w:rsid w:val="780E4277"/>
    <w:rsid w:val="78712AEB"/>
    <w:rsid w:val="78EB5076"/>
    <w:rsid w:val="7959680E"/>
    <w:rsid w:val="79A43462"/>
    <w:rsid w:val="7A9A745F"/>
    <w:rsid w:val="7AC850F5"/>
    <w:rsid w:val="7ADD3367"/>
    <w:rsid w:val="7C445496"/>
    <w:rsid w:val="7C6D36CA"/>
    <w:rsid w:val="7D285395"/>
    <w:rsid w:val="7D2B6106"/>
    <w:rsid w:val="7E750E57"/>
    <w:rsid w:val="7EF249D2"/>
    <w:rsid w:val="7F233313"/>
    <w:rsid w:val="7FEC3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Calibri" w:hAnsi="Calibri" w:eastAsia="宋体" w:cs="Times New Roman"/>
      <w:szCs w:val="24"/>
    </w:rPr>
  </w:style>
  <w:style w:type="paragraph" w:styleId="3">
    <w:name w:val="toa heading"/>
    <w:basedOn w:val="1"/>
    <w:next w:val="1"/>
    <w:semiHidden/>
    <w:qFormat/>
    <w:uiPriority w:val="99"/>
    <w:pPr>
      <w:spacing w:before="120"/>
    </w:pPr>
    <w:rPr>
      <w:rFonts w:ascii="Arial" w:hAnsi="Arial" w:cs="Arial"/>
      <w:sz w:val="24"/>
      <w:szCs w:val="24"/>
    </w:rPr>
  </w:style>
  <w:style w:type="paragraph" w:styleId="4">
    <w:name w:val="Body Text"/>
    <w:basedOn w:val="1"/>
    <w:next w:val="5"/>
    <w:qFormat/>
    <w:uiPriority w:val="99"/>
    <w:pPr>
      <w:spacing w:after="120"/>
    </w:pPr>
  </w:style>
  <w:style w:type="paragraph" w:styleId="5">
    <w:name w:val="footer"/>
    <w:basedOn w:val="1"/>
    <w:next w:val="1"/>
    <w:link w:val="17"/>
    <w:unhideWhenUsed/>
    <w:qFormat/>
    <w:uiPriority w:val="99"/>
    <w:pPr>
      <w:tabs>
        <w:tab w:val="center" w:pos="4153"/>
        <w:tab w:val="right" w:pos="8306"/>
      </w:tabs>
      <w:snapToGrid w:val="0"/>
      <w:jc w:val="left"/>
    </w:pPr>
    <w:rPr>
      <w:sz w:val="18"/>
      <w:szCs w:val="18"/>
    </w:rPr>
  </w:style>
  <w:style w:type="paragraph" w:styleId="6">
    <w:name w:val="Date"/>
    <w:basedOn w:val="1"/>
    <w:next w:val="1"/>
    <w:link w:val="19"/>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fontstyle01"/>
    <w:basedOn w:val="10"/>
    <w:qFormat/>
    <w:uiPriority w:val="0"/>
    <w:rPr>
      <w:rFonts w:hint="default" w:ascii="FZFSK--GBK1-0" w:hAnsi="FZFSK--GBK1-0"/>
      <w:color w:val="000000"/>
      <w:sz w:val="30"/>
      <w:szCs w:val="30"/>
    </w:rPr>
  </w:style>
  <w:style w:type="character" w:customStyle="1" w:styleId="12">
    <w:name w:val="fontstyle11"/>
    <w:basedOn w:val="10"/>
    <w:qFormat/>
    <w:uiPriority w:val="0"/>
    <w:rPr>
      <w:rFonts w:hint="default" w:ascii="E-BX" w:hAnsi="E-BX"/>
      <w:color w:val="000000"/>
      <w:sz w:val="30"/>
      <w:szCs w:val="30"/>
    </w:rPr>
  </w:style>
  <w:style w:type="character" w:customStyle="1" w:styleId="13">
    <w:name w:val="fontstyle21"/>
    <w:basedOn w:val="10"/>
    <w:qFormat/>
    <w:uiPriority w:val="0"/>
    <w:rPr>
      <w:rFonts w:hint="default" w:ascii="E-BX" w:hAnsi="E-BX"/>
      <w:color w:val="000000"/>
      <w:sz w:val="30"/>
      <w:szCs w:val="30"/>
    </w:rPr>
  </w:style>
  <w:style w:type="character" w:customStyle="1" w:styleId="14">
    <w:name w:val="fontstyle31"/>
    <w:basedOn w:val="10"/>
    <w:qFormat/>
    <w:uiPriority w:val="0"/>
    <w:rPr>
      <w:rFonts w:hint="default" w:ascii="E-BZ" w:hAnsi="E-BZ"/>
      <w:color w:val="000000"/>
      <w:sz w:val="30"/>
      <w:szCs w:val="30"/>
    </w:rPr>
  </w:style>
  <w:style w:type="paragraph" w:styleId="15">
    <w:name w:val="List Paragraph"/>
    <w:basedOn w:val="1"/>
    <w:qFormat/>
    <w:uiPriority w:val="34"/>
    <w:pPr>
      <w:ind w:firstLine="420" w:firstLineChars="200"/>
    </w:pPr>
  </w:style>
  <w:style w:type="character" w:customStyle="1" w:styleId="16">
    <w:name w:val="页眉 Char"/>
    <w:basedOn w:val="10"/>
    <w:link w:val="8"/>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批注框文本 Char"/>
    <w:basedOn w:val="10"/>
    <w:link w:val="7"/>
    <w:semiHidden/>
    <w:qFormat/>
    <w:uiPriority w:val="99"/>
    <w:rPr>
      <w:sz w:val="18"/>
      <w:szCs w:val="18"/>
    </w:rPr>
  </w:style>
  <w:style w:type="character" w:customStyle="1" w:styleId="19">
    <w:name w:val="日期 Char"/>
    <w:basedOn w:val="10"/>
    <w:link w:val="6"/>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3D6CF-CF9F-43EA-91D2-F94582EF7B48}">
  <ds:schemaRefs/>
</ds:datastoreItem>
</file>

<file path=docProps/app.xml><?xml version="1.0" encoding="utf-8"?>
<Properties xmlns="http://schemas.openxmlformats.org/officeDocument/2006/extended-properties" xmlns:vt="http://schemas.openxmlformats.org/officeDocument/2006/docPropsVTypes">
  <Template>Normal</Template>
  <Company>datathink</Company>
  <Pages>10</Pages>
  <Words>376</Words>
  <Characters>404</Characters>
  <Lines>10</Lines>
  <Paragraphs>3</Paragraphs>
  <TotalTime>0</TotalTime>
  <ScaleCrop>false</ScaleCrop>
  <LinksUpToDate>false</LinksUpToDate>
  <CharactersWithSpaces>404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2019-09-02T08:01:00Z</dcterms:created>
  <dc:creator>Administrator</dc:creator>
  <cp:lastModifiedBy>Administrator</cp:lastModifiedBy>
  <cp:lastPrinted>2025-05-13T03:09:00Z</cp:lastPrinted>
  <dcterms:modified xsi:type="dcterms:W3CDTF">2025-06-12T07:49:04Z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2E0A5483E5C54246AA78BB42F15C503B</vt:lpwstr>
  </property>
  <property fmtid="{D5CDD505-2E9C-101B-9397-08002B2CF9AE}" pid="4" name="KSOTemplateDocerSaveRecord">
    <vt:lpwstr>eyJoZGlkIjoiNWU1YWM5OGNjNjUzNzFjYWM5ZmI2NGYzOTYxYjY5YzIiLCJ1c2VySWQiOiIzMzM4Njk3MjUifQ==</vt:lpwstr>
  </property>
</Properties>
</file>