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2">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bLP3tgAAAAKAQAADwAAAAAA&#10;AAABACAAAAAiAAAAZHJzL2Rvd25yZXYueG1sUEsBAhQAFAAAAAgAh07iQCBW79PaAQAAgAMAAA4A&#10;AAAAAAAAAQAgAAAAJwEAAGRycy9lMm9Eb2MueG1sUEsFBgAAAAAGAAYAWQEAAHMFAAAAAA==&#10;">
                <v:fill on="f" focussize="0,0"/>
                <v:stroke on="f"/>
                <v:imagedata o:title=""/>
                <o:lock v:ext="edit" aspectratio="f"/>
                <v:textbo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201003</w:t>
      </w:r>
    </w:p>
    <w:p>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：秦皇岛经济技术开发区暑期服务中心</w:t>
      </w:r>
    </w:p>
    <w:p>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auto"/>
        <w:jc w:val="center"/>
        <w:rPr>
          <w:rFonts w:hint="eastAsia" w:ascii="楷体_GB2312" w:hAnsi="楷体_GB2312" w:eastAsia="楷体_GB2312" w:cs="楷体_GB2312"/>
          <w:color w:val="000000"/>
          <w:sz w:val="40"/>
          <w:szCs w:val="40"/>
        </w:rPr>
      </w:pPr>
    </w:p>
    <w:p>
      <w:pPr>
        <w:rPr>
          <w:rFonts w:hint="eastAsia" w:ascii="黑体" w:hAnsi="黑体" w:eastAsia="黑体" w:cs="黑体"/>
          <w:b/>
          <w:bCs/>
          <w:sz w:val="32"/>
          <w:szCs w:val="36"/>
          <w:highlight w:val="yellow"/>
        </w:rPr>
      </w:pP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秦皇岛经济技术开发区暑期服务中心</w:t>
      </w: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年度部门决算公开文本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jc w:val="both"/>
        <w:rPr>
          <w:rFonts w:ascii="黑体" w:hAnsi="黑体" w:eastAsia="黑体" w:cs="黑体"/>
          <w:sz w:val="56"/>
          <w:szCs w:val="72"/>
        </w:rPr>
      </w:pPr>
    </w:p>
    <w:p>
      <w:pPr>
        <w:widowControl/>
        <w:spacing w:before="0" w:beforeLines="0" w:beforeAutospacing="0" w:after="0" w:afterLines="0" w:afterAutospacing="0" w:line="360" w:lineRule="auto"/>
        <w:jc w:val="center"/>
        <w:rPr>
          <w:rFonts w:ascii="Times New Roman" w:eastAsia="楷体_GB2312"/>
          <w:b w:val="0"/>
          <w:sz w:val="44"/>
          <w:szCs w:val="44"/>
        </w:rPr>
      </w:pPr>
      <w:r>
        <w:rPr>
          <w:rFonts w:ascii="Times New Roman" w:eastAsia="楷体_GB2312"/>
          <w:b w:val="0"/>
          <w:sz w:val="44"/>
          <w:szCs w:val="44"/>
        </w:rPr>
        <w:t>秦皇岛经济技术开发区暑期服务中心</w:t>
      </w:r>
    </w:p>
    <w:p>
      <w:pPr>
        <w:widowControl/>
        <w:spacing w:before="0" w:beforeLines="0" w:beforeAutospacing="0" w:after="0" w:afterLines="0" w:afterAutospacing="0" w:line="360" w:lineRule="auto"/>
        <w:jc w:val="center"/>
        <w:rPr>
          <w:rFonts w:ascii="Times New Roman" w:eastAsia="楷体_GB2312"/>
          <w:b w:val="0"/>
          <w:sz w:val="44"/>
          <w:szCs w:val="44"/>
        </w:rPr>
      </w:pPr>
    </w:p>
    <w:p>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w:t>
      </w:r>
      <w:r>
        <w:rPr>
          <w:rFonts w:hint="eastAsia" w:ascii="Times New Roman" w:eastAsia="楷体_GB2312"/>
          <w:b w:val="0"/>
          <w:sz w:val="44"/>
          <w:szCs w:val="44"/>
          <w:lang w:eastAsia="zh-CN"/>
        </w:rPr>
        <w:t>九</w:t>
      </w:r>
      <w:r>
        <w:rPr>
          <w:rFonts w:ascii="Times New Roman" w:eastAsia="楷体_GB2312"/>
          <w:b w:val="0"/>
          <w:sz w:val="44"/>
          <w:szCs w:val="44"/>
        </w:rPr>
        <w:t>月</w:t>
      </w:r>
    </w:p>
    <w:p>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4"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spacing w:line="600" w:lineRule="exact"/>
        <w:jc w:val="left"/>
        <w:rPr>
          <w:rFonts w:ascii="黑体" w:hAnsi="黑体" w:eastAsia="黑体" w:cs="黑体"/>
          <w:bCs/>
          <w:sz w:val="32"/>
          <w:szCs w:val="32"/>
        </w:rPr>
      </w:pPr>
    </w:p>
    <w:p>
      <w:pPr>
        <w:tabs>
          <w:tab w:val="left" w:pos="2728"/>
        </w:tabs>
        <w:jc w:val="center"/>
        <w:rPr>
          <w:rFonts w:ascii="黑体" w:hAnsi="Times New Roman" w:eastAsia="黑体" w:cs="Times New Roman"/>
          <w:sz w:val="48"/>
          <w:szCs w:val="48"/>
        </w:r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   单位概况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一、单位职责</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   2024年度部门决算报表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   2024年度部门决算情况说明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   名词解释</w:t>
      </w:r>
    </w:p>
    <w:p>
      <w:pPr>
        <w:widowControl/>
        <w:spacing w:after="160" w:line="580" w:lineRule="exact"/>
        <w:rPr>
          <w:rFonts w:hint="eastAsia" w:ascii="Times New Roman" w:hAnsi="Times New Roman" w:eastAsia="黑体" w:cs="Times New Roman"/>
          <w:sz w:val="32"/>
          <w:szCs w:val="32"/>
          <w:lang w:val="en-US" w:eastAsia="zh-CN"/>
        </w:rPr>
        <w:sectPr>
          <w:headerReference r:id="rId6" w:type="first"/>
          <w:footerReference r:id="rId8" w:type="first"/>
          <w:headerReference r:id="rId5" w:type="default"/>
          <w:footerReference r:id="rId7"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   单位概况</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一、单位职责</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对全区旅游旺季工作（涉暑工作）情况进行调查研究和综合分析</w:t>
      </w:r>
      <w:r>
        <w:rPr>
          <w:rFonts w:hint="eastAsia" w:ascii="Times New Roman" w:eastAsia="仿宋_GB2312"/>
          <w:b w:val="0"/>
          <w:sz w:val="32"/>
          <w:szCs w:val="32"/>
          <w:lang w:eastAsia="zh-CN"/>
        </w:rPr>
        <w:t>，</w:t>
      </w:r>
      <w:r>
        <w:rPr>
          <w:rFonts w:ascii="Times New Roman" w:eastAsia="仿宋_GB2312"/>
          <w:b w:val="0"/>
          <w:sz w:val="32"/>
          <w:szCs w:val="32"/>
        </w:rPr>
        <w:t>向上级相关单位提供暑期工作信息，并与区内各相关单位配合，发挥综合、指导 、协调、服务的职能作用。</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从决算编报单位构成看，纳入2024年度本部门决算汇编范围的独立核算单位（以下简称“单位”）共1个，具体情况如下：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秦皇岛经济技术开发区暑期服务中心</w:t>
            </w:r>
          </w:p>
        </w:tc>
        <w:tc>
          <w:tcPr>
            <w:tcW w:w="2445" w:type="dxa"/>
          </w:tcPr>
          <w:p>
            <w:pPr>
              <w:spacing w:line="560" w:lineRule="exact"/>
              <w:jc w:val="center"/>
              <w:rPr>
                <w:rFonts w:hint="default" w:ascii="仿宋_GB2312" w:hAnsi="Calibri" w:eastAsia="仿宋_GB2312" w:cs="ArialUnicodeMS"/>
                <w:kern w:val="0"/>
                <w:sz w:val="28"/>
                <w:szCs w:val="28"/>
                <w:lang w:val="en-US" w:eastAsia="zh-CN"/>
              </w:rPr>
            </w:pPr>
            <w:r>
              <w:rPr>
                <w:rFonts w:hint="eastAsia" w:ascii="仿宋_GB2312" w:hAnsi="Calibri" w:eastAsia="仿宋_GB2312" w:cs="ArialUnicodeMS"/>
                <w:kern w:val="0"/>
                <w:sz w:val="28"/>
                <w:szCs w:val="28"/>
                <w:lang w:eastAsia="zh-CN"/>
              </w:rPr>
              <w:t>事业单位</w:t>
            </w: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bl>
    <w:p>
      <w:pPr>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   </w:t>
      </w:r>
      <w:r>
        <w:rPr>
          <w:rFonts w:ascii="Times New Roman" w:eastAsia="仿宋_GB2312"/>
          <w:b w:val="0"/>
          <w:sz w:val="44"/>
          <w:szCs w:val="44"/>
        </w:rPr>
        <w:t>2024</w:t>
      </w:r>
      <w:r>
        <w:rPr>
          <w:rFonts w:ascii="Times New Roman" w:eastAsia="黑体"/>
          <w:b w:val="0"/>
          <w:sz w:val="44"/>
          <w:szCs w:val="44"/>
        </w:rPr>
        <w:t>年度部门决算表</w:t>
      </w:r>
    </w:p>
    <w:tbl>
      <w:tblPr>
        <w:tblStyle w:val="11"/>
        <w:tblW w:w="7250" w:type="pct"/>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部门（单位）：秦皇岛经济技术开发区暑期服务中心</w:t>
            </w:r>
          </w:p>
        </w:tc>
        <w:tc>
          <w:tcPr>
            <w:tcW w:w="1262" w:type="pct"/>
            <w:gridSpan w:val="2"/>
            <w:tcBorders>
              <w:top w:val="nil"/>
              <w:left w:val="nil"/>
              <w:bottom w:val="single" w:color="auto" w:sz="4" w:space="0"/>
              <w:right w:val="nil"/>
            </w:tcBorders>
            <w:noWrap/>
            <w:vAlign w:val="bottom"/>
          </w:tcPr>
          <w:p>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57" w:type="pct"/>
            <w:gridSpan w:val="3"/>
            <w:tcBorders>
              <w:top w:val="nil"/>
              <w:left w:val="nil"/>
              <w:bottom w:val="single" w:color="auto" w:sz="4" w:space="0"/>
              <w:right w:val="nil"/>
            </w:tcBorders>
            <w:noWrap/>
            <w:vAlign w:val="bottom"/>
          </w:tcPr>
          <w:p>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337.74</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236.53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826"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826"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826"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826"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337.74</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337.74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337.74</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337.74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注：1.本表反映单位本年度的总收支和年末结转结余情况。</w:t>
            </w:r>
          </w:p>
          <w:p>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部门（单位）：秦皇岛经济技术开发区暑期服务中心                                                                                                         </w:t>
            </w:r>
          </w:p>
        </w:tc>
        <w:tc>
          <w:tcPr>
            <w:tcW w:w="3405" w:type="dxa"/>
            <w:gridSpan w:val="4"/>
            <w:tcBorders>
              <w:top w:val="nil"/>
              <w:left w:val="nil"/>
              <w:bottom w:val="single" w:color="auto" w:sz="4" w:space="0"/>
              <w:right w:val="nil"/>
            </w:tcBorders>
            <w:noWrap/>
            <w:vAlign w:val="bottom"/>
          </w:tcPr>
          <w:p>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337.74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337.74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一般公共服务支出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236.53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236.53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20131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党委办公厅（室）及相关机构事务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236.53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236.53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2013150</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事业运行</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236.53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236.53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54.75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54.75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54.75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54.75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事业单位离退休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7.05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7.05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28.44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28.44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2080506</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机关事业单位职业年金缴费支出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19.26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19.26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22.72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22.72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22.72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22.72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事业单位医疗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10.39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10.39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2101103</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公务员医疗补助</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12.32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12.32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23.74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23.74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23.74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23.74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23.74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23.74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注：本表反映单位本年度取得的各项收入情况。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部门（单位）：秦皇岛经济技术开发区暑期服务中心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40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0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795"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6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9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337.74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337.74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236.53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236.53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党委办公厅（室）及相关机构事务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236.53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236.53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2013150</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事业运行</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236.53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236.53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54.75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54.75</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54.75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54.75</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事业单位离退休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7.05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7.05</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28.44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28.44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2080506</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机关事业单位职业年金缴费支出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19.26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19.26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22.72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22.72</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22.72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22.72</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10.39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10.39</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2101103</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公务员医疗补助</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12.32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12.32</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23.74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23.74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23.74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23.74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23.74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23.74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注：本表反映单位本年度各项支出情况。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281" w:type="pct"/>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部门（单位）：秦皇岛经济技术开发区暑期服务中心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9" w:type="pct"/>
            <w:gridSpan w:val="3"/>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6" w:type="pct"/>
            <w:gridSpan w:val="8"/>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9"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0" w:type="pct"/>
            <w:tcBorders>
              <w:top w:val="nil"/>
              <w:left w:val="nil"/>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337.74</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236.53</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236.53</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54.75</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54.75</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22.72</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22.72</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09"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23.74</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23.74</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09"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337.74</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337.74</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337.74</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09"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337.74</w:t>
            </w:r>
          </w:p>
        </w:tc>
        <w:tc>
          <w:tcPr>
            <w:tcW w:w="895" w:type="pct"/>
            <w:gridSpan w:val="2"/>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337.74</w:t>
            </w: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cs="Times New Roman"/>
                <w:sz w:val="20"/>
                <w:szCs w:val="20"/>
                <w:highlight w:val="none"/>
              </w:rPr>
            </w:pPr>
          </w:p>
          <w:p>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337.74</w:t>
            </w:r>
          </w:p>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注：本表反映单位本年度一般公共预算财政拨款、政府性基金预算财政拨款和国有资本经营预算财政拨款的总收支和年末结转结余情况。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66"/>
        <w:gridCol w:w="3050"/>
        <w:gridCol w:w="1015"/>
        <w:gridCol w:w="685"/>
        <w:gridCol w:w="717"/>
        <w:gridCol w:w="343"/>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编制部门（单位）：秦皇岛经济技术开发区暑期服务中心</w:t>
            </w:r>
          </w:p>
        </w:tc>
        <w:tc>
          <w:tcPr>
            <w:tcW w:w="1541" w:type="pct"/>
            <w:gridSpan w:val="2"/>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337.74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337.74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236.53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236.53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党委办公厅（室）及相关机构事务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236.53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236.53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2013150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236.53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236.53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54.75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54.75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54.75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54.75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7.05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7.05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28.44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28.44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2080506</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机关事业单位职业年金缴费支出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19.26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19.26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22.72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22.72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22.72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22.72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10.39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10.39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2101103</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公务员医疗补助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12.32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12.32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23.74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23.74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23.74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23.74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23.74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23.74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注：本表反映单位本年度一般公共预算财政拨款支出情况。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050" w:type="pct"/>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部门（单位）：秦皇岛经济技术开发区暑期服务中心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5" w:type="pct"/>
            <w:gridSpan w:val="2"/>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1"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317.53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12.91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76.95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2.72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82.30</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0.57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22.99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39.04</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28.44</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19.26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0.15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10.39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12.32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2.09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23.74</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0.09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7.30</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6.99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4.17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2.99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1.95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0.31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0.27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324.83</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注：本表反映单位本年度一般公共预算财政拨款基本支出明细情况。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部门（单位）：秦皇岛经济技术开发区暑期服务中心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9" w:type="pct"/>
            <w:gridSpan w:val="4"/>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3" w:type="pct"/>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4"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3" w:type="pct"/>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注：本表反映单位本年度政府性基金预算财政拨款收入、支出及结转和结余情况。本单位无相关数据，近要求以空表列示。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部门（单位）：秦皇岛经济技术开发区暑期服务中心</w:t>
            </w:r>
          </w:p>
        </w:tc>
        <w:tc>
          <w:tcPr>
            <w:tcW w:w="1421" w:type="pct"/>
            <w:gridSpan w:val="4"/>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3"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9" w:type="pct"/>
            <w:gridSpan w:val="2"/>
            <w:vMerge w:val="restart"/>
            <w:tcBorders>
              <w:top w:val="nil"/>
              <w:left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注：本表反映单位本年度国有资本经营预算财政拨款支出情况。本单位无相关数据，按要求以空表列示。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4"/>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部门（单位）：秦皇岛经济技术开发区暑期服务中心</w:t>
            </w:r>
          </w:p>
        </w:tc>
        <w:tc>
          <w:tcPr>
            <w:tcW w:w="93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8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2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8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8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3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6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8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4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51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14"/>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注：本表反映单位本年度财政拨款“三公”经费支出预决算情况。其中：预算数为“三公”经费全年预算数，反映按规定程序调整后的预算数；决算数是包括当年财政拨款和以前年度结转资金安排的实际支出。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本单位无相关数据，按要求以空表列示。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9" w:type="default"/>
          <w:footerReference r:id="rId10"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   </w:t>
      </w:r>
      <w:r>
        <w:rPr>
          <w:rFonts w:ascii="Times New Roman" w:eastAsia="仿宋_GB2312"/>
          <w:b w:val="0"/>
          <w:sz w:val="44"/>
          <w:szCs w:val="44"/>
        </w:rPr>
        <w:t>2024</w:t>
      </w:r>
      <w:r>
        <w:rPr>
          <w:rFonts w:ascii="Times New Roman" w:eastAsia="黑体"/>
          <w:b w:val="0"/>
          <w:sz w:val="44"/>
          <w:szCs w:val="44"/>
        </w:rPr>
        <w:t>年度部门决算情况说明</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本单位2024年度收、支总计（含结转和结余）均为337.74万元。与2023年度决算相比，收支各减少1.64万元，下降0.5%，主要原因是公益岗劳务费减少。</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本单位2024年度本年收入合计337.74万元，其中：财政拨款收入337.74万元，占100.0%</w:t>
      </w:r>
      <w:r>
        <w:rPr>
          <w:rFonts w:hint="eastAsia" w:ascii="Times New Roman" w:eastAsia="仿宋_GB2312"/>
          <w:b w:val="0"/>
          <w:sz w:val="32"/>
          <w:szCs w:val="32"/>
          <w:lang w:eastAsia="zh-CN"/>
        </w:rPr>
        <w:t>；</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adjustRightInd w:val="0"/>
        <w:snapToGrid w:val="0"/>
        <w:spacing w:line="580" w:lineRule="exact"/>
        <w:jc w:val="both"/>
        <w:rPr>
          <w:rFonts w:ascii="Times New Roman" w:eastAsia="黑体"/>
          <w:sz w:val="32"/>
          <w:szCs w:val="32"/>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Times New Roman" w:eastAsia="黑体"/>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本单位2024年度本年支出合计337.74万元，其中：基本支出337.74万元，占100.0%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本单位2024年度财政拨款收、支总计（含结转和结余）均为337.74万元。与2023年度相比，财政拨款收支各减少1.64万元，降低0.5%，主要原因是公益岗劳务费减少。</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本单位2024年度财政拨款本年收入337.74万元,比上年减少1.64万元，降低0.5%，主要原因是公益岗劳务费减少；本年支出337.74万元，比上年减少1.64万元，降低0.5%，主要原因是公益岗劳务费减少。具体情况如下：</w:t>
      </w:r>
    </w:p>
    <w:p>
      <w:pPr>
        <w:widowControl/>
        <w:numPr>
          <w:ilvl w:val="0"/>
          <w:numId w:val="2"/>
        </w:numPr>
        <w:spacing w:before="0" w:beforeLines="0" w:beforeAutospacing="0" w:after="0" w:afterLines="0" w:afterAutospacing="0" w:line="360" w:lineRule="auto"/>
        <w:ind w:firstLine="640" w:firstLineChars="200"/>
        <w:jc w:val="left"/>
        <w:outlineLvl w:val="1"/>
        <w:rPr>
          <w:rFonts w:ascii="Times New Roman" w:eastAsia="仿宋_GB2312"/>
          <w:b w:val="0"/>
          <w:sz w:val="32"/>
          <w:szCs w:val="32"/>
        </w:rPr>
      </w:pPr>
      <w:r>
        <w:rPr>
          <w:rFonts w:ascii="Times New Roman" w:eastAsia="仿宋_GB2312"/>
          <w:b w:val="0"/>
          <w:sz w:val="32"/>
          <w:szCs w:val="32"/>
        </w:rPr>
        <w:t>一般公共预算财政拨款本年收入337.74万元,比上年减少1.64万元，降低0.5%，主要原因是公益岗劳务费减少；本年支出337.74万元，比上年减少1.64万元，降低0.5%，主要原因是公益岗劳务费减少。</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2.政府性基金预算财政拨款本年收入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与上年预算收入</w:t>
      </w:r>
      <w:r>
        <w:rPr>
          <w:rFonts w:hint="eastAsia" w:ascii="Times New Roman" w:hAnsi="Times New Roman" w:eastAsia="仿宋_GB2312" w:cs="Times New Roman"/>
          <w:sz w:val="32"/>
          <w:szCs w:val="32"/>
          <w:lang w:val="en-US" w:eastAsia="zh-CN"/>
        </w:rPr>
        <w:t>0万元持平</w:t>
      </w:r>
      <w:r>
        <w:rPr>
          <w:rFonts w:ascii="Times New Roman" w:hAnsi="Times New Roman" w:eastAsia="仿宋_GB2312" w:cs="Times New Roman"/>
          <w:sz w:val="32"/>
          <w:szCs w:val="32"/>
        </w:rPr>
        <w:t>；本年支出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与上年决算支出持平</w:t>
      </w:r>
      <w:r>
        <w:rPr>
          <w:rFonts w:ascii="Times New Roman" w:hAnsi="Times New Roman" w:eastAsia="仿宋_GB2312" w:cs="Times New Roman"/>
          <w:sz w:val="32"/>
          <w:szCs w:val="32"/>
        </w:rPr>
        <w:t>。</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3.国有资本经营预算财政拨款本年收入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与上年预算收入</w:t>
      </w:r>
      <w:r>
        <w:rPr>
          <w:rFonts w:hint="eastAsia" w:ascii="Times New Roman" w:hAnsi="Times New Roman" w:eastAsia="仿宋_GB2312" w:cs="Times New Roman"/>
          <w:sz w:val="32"/>
          <w:szCs w:val="32"/>
          <w:lang w:val="en-US" w:eastAsia="zh-CN"/>
        </w:rPr>
        <w:t>0万元持平</w:t>
      </w:r>
      <w:r>
        <w:rPr>
          <w:rFonts w:ascii="Times New Roman" w:hAnsi="Times New Roman" w:eastAsia="仿宋_GB2312" w:cs="Times New Roman"/>
          <w:sz w:val="32"/>
          <w:szCs w:val="32"/>
        </w:rPr>
        <w:t>；本年支出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与上年决算支出持平</w:t>
      </w:r>
      <w:r>
        <w:rPr>
          <w:rFonts w:ascii="Times New Roman" w:hAnsi="Times New Roman" w:eastAsia="仿宋_GB2312" w:cs="Times New Roman"/>
          <w:sz w:val="32"/>
          <w:szCs w:val="32"/>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本单位2024年度财政拨款本年收入337.74万元，完成年初预算的84.8%，比年初预算减少60.44万元，决算数小于预算数主要原因是</w:t>
      </w:r>
      <w:r>
        <w:rPr>
          <w:rFonts w:hint="eastAsia" w:ascii="Times New Roman" w:eastAsia="仿宋_GB2312"/>
          <w:b w:val="0"/>
          <w:sz w:val="32"/>
          <w:szCs w:val="32"/>
          <w:lang w:eastAsia="zh-CN"/>
        </w:rPr>
        <w:t>单位</w:t>
      </w:r>
      <w:r>
        <w:rPr>
          <w:rFonts w:ascii="Times New Roman" w:eastAsia="仿宋_GB2312"/>
          <w:b w:val="0"/>
          <w:sz w:val="32"/>
          <w:szCs w:val="32"/>
        </w:rPr>
        <w:t>人员减少，人员经费收入相应减少；本年支出337.74万元，完成年初预算的84.8%，比年初预算减少60.44万元，决算数小于预算数主要原因是</w:t>
      </w:r>
      <w:r>
        <w:rPr>
          <w:rFonts w:hint="eastAsia" w:ascii="Times New Roman" w:eastAsia="仿宋_GB2312"/>
          <w:b w:val="0"/>
          <w:sz w:val="32"/>
          <w:szCs w:val="32"/>
          <w:lang w:eastAsia="zh-CN"/>
        </w:rPr>
        <w:t>单位</w:t>
      </w:r>
      <w:r>
        <w:rPr>
          <w:rFonts w:ascii="Times New Roman" w:eastAsia="仿宋_GB2312"/>
          <w:b w:val="0"/>
          <w:sz w:val="32"/>
          <w:szCs w:val="32"/>
        </w:rPr>
        <w:t>人员减少，人员经费</w:t>
      </w:r>
      <w:r>
        <w:rPr>
          <w:rFonts w:hint="eastAsia" w:ascii="Times New Roman" w:eastAsia="仿宋_GB2312"/>
          <w:b w:val="0"/>
          <w:sz w:val="32"/>
          <w:szCs w:val="32"/>
          <w:lang w:eastAsia="zh-CN"/>
        </w:rPr>
        <w:t>支出</w:t>
      </w:r>
      <w:r>
        <w:rPr>
          <w:rFonts w:ascii="Times New Roman" w:eastAsia="仿宋_GB2312"/>
          <w:b w:val="0"/>
          <w:sz w:val="32"/>
          <w:szCs w:val="32"/>
        </w:rPr>
        <w:t>相应减少 。具体情况如下：</w:t>
      </w:r>
    </w:p>
    <w:p>
      <w:pPr>
        <w:numPr>
          <w:ilvl w:val="0"/>
          <w:numId w:val="3"/>
        </w:numPr>
        <w:adjustRightInd w:val="0"/>
        <w:snapToGrid w:val="0"/>
        <w:spacing w:line="580" w:lineRule="exact"/>
        <w:ind w:firstLine="640" w:firstLineChars="200"/>
        <w:rPr>
          <w:rFonts w:ascii="Times New Roman" w:eastAsia="仿宋_GB2312"/>
          <w:b w:val="0"/>
          <w:sz w:val="32"/>
          <w:szCs w:val="32"/>
        </w:rPr>
      </w:pPr>
      <w:r>
        <w:rPr>
          <w:rFonts w:ascii="Times New Roman" w:eastAsia="仿宋_GB2312"/>
          <w:b w:val="0"/>
          <w:sz w:val="32"/>
          <w:szCs w:val="32"/>
        </w:rPr>
        <w:t>一般公共预算财政拨款本年收入完成年初预算的84.8%，比年初预算减少60.44万元，主要原因是</w:t>
      </w:r>
      <w:r>
        <w:rPr>
          <w:rFonts w:hint="eastAsia" w:ascii="Times New Roman" w:eastAsia="仿宋_GB2312"/>
          <w:b w:val="0"/>
          <w:sz w:val="32"/>
          <w:szCs w:val="32"/>
          <w:lang w:eastAsia="zh-CN"/>
        </w:rPr>
        <w:t>单位</w:t>
      </w:r>
      <w:r>
        <w:rPr>
          <w:rFonts w:ascii="Times New Roman" w:eastAsia="仿宋_GB2312"/>
          <w:b w:val="0"/>
          <w:sz w:val="32"/>
          <w:szCs w:val="32"/>
        </w:rPr>
        <w:t>人员减少，人员经费收入相应减少；支出完成年初预算的84.8%，比年初预算减少60.44万元，主要原因是</w:t>
      </w:r>
      <w:r>
        <w:rPr>
          <w:rFonts w:hint="eastAsia" w:ascii="Times New Roman" w:eastAsia="仿宋_GB2312"/>
          <w:b w:val="0"/>
          <w:sz w:val="32"/>
          <w:szCs w:val="32"/>
          <w:lang w:eastAsia="zh-CN"/>
        </w:rPr>
        <w:t>单位</w:t>
      </w:r>
      <w:r>
        <w:rPr>
          <w:rFonts w:ascii="Times New Roman" w:eastAsia="仿宋_GB2312"/>
          <w:b w:val="0"/>
          <w:sz w:val="32"/>
          <w:szCs w:val="32"/>
        </w:rPr>
        <w:t>人员减少，人员经费</w:t>
      </w:r>
      <w:r>
        <w:rPr>
          <w:rFonts w:hint="eastAsia" w:ascii="Times New Roman" w:eastAsia="仿宋_GB2312"/>
          <w:b w:val="0"/>
          <w:sz w:val="32"/>
          <w:szCs w:val="32"/>
          <w:lang w:eastAsia="zh-CN"/>
        </w:rPr>
        <w:t>支出</w:t>
      </w:r>
      <w:r>
        <w:rPr>
          <w:rFonts w:ascii="Times New Roman" w:eastAsia="仿宋_GB2312"/>
          <w:b w:val="0"/>
          <w:sz w:val="32"/>
          <w:szCs w:val="32"/>
        </w:rPr>
        <w:t>相应减少。</w:t>
      </w:r>
    </w:p>
    <w:p>
      <w:pPr>
        <w:numPr>
          <w:ilvl w:val="0"/>
          <w:numId w:val="0"/>
        </w:num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2.政府性基金预算财政拨款本年收入</w:t>
      </w:r>
      <w:r>
        <w:rPr>
          <w:rFonts w:hint="eastAsia" w:ascii="Times New Roman" w:hAnsi="Times New Roman" w:eastAsia="仿宋_GB2312" w:cs="Times New Roman"/>
          <w:sz w:val="32"/>
          <w:szCs w:val="32"/>
          <w:lang w:val="en-US" w:eastAsia="zh-CN"/>
        </w:rPr>
        <w:t>年初预算0万元，决算支出0万元，与年初预算持平，与上年决算持平</w:t>
      </w:r>
      <w:r>
        <w:rPr>
          <w:rFonts w:ascii="Times New Roman" w:hAnsi="Times New Roman" w:eastAsia="仿宋_GB2312" w:cs="Times New Roman"/>
          <w:sz w:val="32"/>
          <w:szCs w:val="32"/>
        </w:rPr>
        <w:t>。</w:t>
      </w:r>
    </w:p>
    <w:p>
      <w:pPr>
        <w:numPr>
          <w:ilvl w:val="0"/>
          <w:numId w:val="0"/>
        </w:numPr>
        <w:adjustRightInd w:val="0"/>
        <w:snapToGrid w:val="0"/>
        <w:spacing w:line="580" w:lineRule="exact"/>
        <w:ind w:firstLine="640" w:firstLineChars="200"/>
        <w:rPr>
          <w:rFonts w:ascii="Times New Roman" w:eastAsia="仿宋_GB2312"/>
          <w:sz w:val="32"/>
          <w:szCs w:val="32"/>
        </w:rPr>
      </w:pPr>
      <w:r>
        <w:rPr>
          <w:rFonts w:ascii="Times New Roman" w:hAnsi="Times New Roman" w:eastAsia="仿宋_GB2312" w:cs="Times New Roman"/>
          <w:sz w:val="32"/>
          <w:szCs w:val="32"/>
        </w:rPr>
        <w:t>3.国有资本经营预算财政拨款本年收入年初预算</w:t>
      </w:r>
      <w:r>
        <w:rPr>
          <w:rFonts w:hint="eastAsia" w:ascii="Times New Roman" w:hAnsi="Times New Roman" w:eastAsia="仿宋_GB2312" w:cs="Times New Roman"/>
          <w:sz w:val="32"/>
          <w:szCs w:val="32"/>
          <w:lang w:val="en-US" w:eastAsia="zh-CN"/>
        </w:rPr>
        <w:t>0万元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决算支出0万元，与年初预算持平，与上年决算持平</w:t>
      </w:r>
      <w:r>
        <w:rPr>
          <w:rFonts w:ascii="Times New Roman" w:hAnsi="Times New Roman" w:eastAsia="仿宋_GB2312" w:cs="Times New Roman"/>
          <w:sz w:val="32"/>
          <w:szCs w:val="32"/>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2024年度财政拨款支出337.74万元，主要用于以下方面：</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一般公共服务（类）支出​236.53万元，占​70.0​%，主要用于保障本单位正常运转，支持单位履行职能等支出；社会保障和就业 （类）支出54.75万元，占16.2%，主要用于职工养老保险、职业年金、工伤保险、失业保险等支出；卫生健康（类）支出22.72万元，占6.7%，主要用于职工基本医疗保险、公务员医疗补助等支出；住房保障（类）支出23.74万元，占7.0%，主要用于职工住房公积金等支出。</w:t>
      </w:r>
    </w:p>
    <w:p>
      <w:pPr>
        <w:widowControl/>
        <w:spacing w:before="0" w:beforeLines="0" w:beforeAutospacing="0" w:after="0" w:afterLines="0" w:afterAutospacing="0" w:line="360" w:lineRule="auto"/>
        <w:ind w:firstLine="643" w:firstLineChars="200"/>
        <w:jc w:val="left"/>
        <w:rPr>
          <w:rFonts w:hint="eastAsia" w:ascii="Times New Roman" w:eastAsia="仿宋_GB2312"/>
          <w:b w:val="0"/>
          <w:sz w:val="32"/>
          <w:szCs w:val="32"/>
          <w:lang w:eastAsia="zh-CN"/>
        </w:rPr>
      </w:pPr>
      <w:r>
        <w:rPr>
          <w:rFonts w:hint="eastAsia" w:ascii="Times New Roman" w:hAnsi="Times New Roman" w:eastAsia="仿宋_GB2312" w:cs="Times New Roman"/>
          <w:b/>
          <w:sz w:val="32"/>
          <w:szCs w:val="32"/>
        </w:rPr>
        <w:t>政府性基金预算财政拨款支出</w:t>
      </w:r>
      <w:r>
        <w:rPr>
          <w:rFonts w:hint="eastAsia" w:ascii="Times New Roman" w:hAnsi="Times New Roman" w:eastAsia="仿宋_GB2312" w:cs="Times New Roman"/>
          <w:b/>
          <w:sz w:val="32"/>
          <w:szCs w:val="32"/>
          <w:lang w:eastAsia="zh-CN"/>
        </w:rPr>
        <w:t>：</w:t>
      </w:r>
      <w:r>
        <w:rPr>
          <w:rFonts w:hint="eastAsia" w:ascii="Times New Roman" w:eastAsia="仿宋_GB2312"/>
          <w:b w:val="0"/>
          <w:sz w:val="32"/>
          <w:szCs w:val="32"/>
          <w:lang w:eastAsia="zh-CN"/>
        </w:rPr>
        <w:t>本单位本年度无政府性基金预算财政拨款支出。</w:t>
      </w:r>
    </w:p>
    <w:p>
      <w:pPr>
        <w:widowControl/>
        <w:spacing w:before="0" w:beforeLines="0" w:beforeAutospacing="0" w:after="0" w:afterLines="0" w:afterAutospacing="0" w:line="360" w:lineRule="auto"/>
        <w:ind w:left="319" w:leftChars="133" w:firstLine="321" w:firstLineChars="100"/>
        <w:jc w:val="left"/>
        <w:rPr>
          <w:rFonts w:hint="eastAsia" w:ascii="Times New Roman" w:eastAsia="仿宋_GB2312"/>
          <w:b w:val="0"/>
          <w:sz w:val="32"/>
          <w:szCs w:val="32"/>
          <w:lang w:eastAsia="zh-CN"/>
        </w:rPr>
      </w:pPr>
      <w:r>
        <w:rPr>
          <w:rFonts w:hint="eastAsia" w:ascii="Times New Roman" w:hAnsi="Times New Roman" w:eastAsia="仿宋_GB2312" w:cs="Times New Roman"/>
          <w:b/>
          <w:sz w:val="32"/>
          <w:szCs w:val="32"/>
        </w:rPr>
        <w:t>国有资本经营预算财政拨款支出：</w:t>
      </w:r>
      <w:r>
        <w:rPr>
          <w:rFonts w:hint="eastAsia" w:ascii="Times New Roman" w:eastAsia="仿宋_GB2312"/>
          <w:b w:val="0"/>
          <w:sz w:val="32"/>
          <w:szCs w:val="32"/>
          <w:lang w:eastAsia="zh-CN"/>
        </w:rPr>
        <w:t>本单位本年度无国有资本经营预算财政拨款支出。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2024年度财政拨款基本支出337.74万元，其中：</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人员经费324.83万元，主要包括基本工资、津贴补贴、奖金、绩效工资、机关事业部门基本养老保险缴费、职业年金缴费、职工基本医疗保险缴费、公务员医疗补助缴费、住房公积金、医疗费、其他社会保障缴费、 退休费、生活补助、奖励金、其他对个人和家庭的补助支出。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公用经费12.91万元，主要包括办公费、印刷费、邮电费、差旅费、维修（护）费、劳务费、工会经费、福利费、其他商品和服务支出。</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 经费支出决算情况说明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本单位2024年度“三公”经费财政拨款支出预算为</w:t>
      </w:r>
      <w:r>
        <w:rPr>
          <w:rFonts w:hint="eastAsia" w:ascii="Times New Roman" w:eastAsia="仿宋_GB2312"/>
          <w:b w:val="0"/>
          <w:sz w:val="32"/>
          <w:szCs w:val="32"/>
          <w:lang w:val="en-US" w:eastAsia="zh-CN"/>
        </w:rPr>
        <w:t>0.2</w:t>
      </w:r>
      <w:r>
        <w:rPr>
          <w:rFonts w:ascii="Times New Roman" w:eastAsia="仿宋_GB2312"/>
          <w:b w:val="0"/>
          <w:sz w:val="32"/>
          <w:szCs w:val="32"/>
        </w:rPr>
        <w:t>万元，支出决算为</w:t>
      </w:r>
      <w:r>
        <w:rPr>
          <w:rFonts w:hint="eastAsia" w:ascii="Times New Roman" w:eastAsia="仿宋_GB2312"/>
          <w:b w:val="0"/>
          <w:sz w:val="32"/>
          <w:szCs w:val="32"/>
          <w:lang w:val="en-US" w:eastAsia="zh-CN"/>
        </w:rPr>
        <w:t>0</w:t>
      </w:r>
      <w:r>
        <w:rPr>
          <w:rFonts w:ascii="Times New Roman" w:eastAsia="仿宋_GB2312"/>
          <w:b w:val="0"/>
          <w:sz w:val="32"/>
          <w:szCs w:val="32"/>
        </w:rPr>
        <w:t>万元，</w:t>
      </w:r>
      <w:r>
        <w:rPr>
          <w:rFonts w:hint="eastAsia" w:ascii="Times New Roman" w:eastAsia="仿宋_GB2312"/>
          <w:b w:val="0"/>
          <w:sz w:val="32"/>
          <w:szCs w:val="32"/>
          <w:lang w:eastAsia="zh-CN"/>
        </w:rPr>
        <w:t>较预算减少</w:t>
      </w:r>
      <w:r>
        <w:rPr>
          <w:rFonts w:hint="eastAsia" w:ascii="Times New Roman" w:eastAsia="仿宋_GB2312"/>
          <w:b w:val="0"/>
          <w:sz w:val="32"/>
          <w:szCs w:val="32"/>
          <w:lang w:val="en-US" w:eastAsia="zh-CN"/>
        </w:rPr>
        <w:t>0.2万元，减少的原因是公务接待费未支出</w:t>
      </w:r>
      <w:r>
        <w:rPr>
          <w:rFonts w:hint="eastAsia" w:ascii="Times New Roman" w:eastAsia="仿宋_GB2312"/>
          <w:b w:val="0"/>
          <w:sz w:val="32"/>
          <w:szCs w:val="32"/>
          <w:lang w:eastAsia="zh-CN"/>
        </w:rPr>
        <w:t>。与</w:t>
      </w:r>
      <w:r>
        <w:rPr>
          <w:rFonts w:ascii="Times New Roman" w:eastAsia="仿宋_GB2312"/>
          <w:b w:val="0"/>
          <w:sz w:val="32"/>
          <w:szCs w:val="32"/>
        </w:rPr>
        <w:t>2023年度决算</w:t>
      </w:r>
      <w:r>
        <w:rPr>
          <w:rFonts w:hint="eastAsia" w:ascii="Times New Roman" w:eastAsia="仿宋_GB2312"/>
          <w:b w:val="0"/>
          <w:sz w:val="32"/>
          <w:szCs w:val="32"/>
          <w:lang w:eastAsia="zh-CN"/>
        </w:rPr>
        <w:t>支出</w:t>
      </w:r>
      <w:r>
        <w:rPr>
          <w:rFonts w:hint="eastAsia" w:ascii="Times New Roman" w:eastAsia="仿宋_GB2312"/>
          <w:b w:val="0"/>
          <w:sz w:val="32"/>
          <w:szCs w:val="32"/>
          <w:lang w:val="en-US" w:eastAsia="zh-CN"/>
        </w:rPr>
        <w:t>0</w:t>
      </w:r>
      <w:r>
        <w:rPr>
          <w:rFonts w:ascii="Times New Roman" w:eastAsia="仿宋_GB2312"/>
          <w:b w:val="0"/>
          <w:sz w:val="32"/>
          <w:szCs w:val="32"/>
        </w:rPr>
        <w:t>万元</w:t>
      </w:r>
      <w:r>
        <w:rPr>
          <w:rFonts w:hint="eastAsia" w:ascii="Times New Roman" w:eastAsia="仿宋_GB2312"/>
          <w:b w:val="0"/>
          <w:sz w:val="32"/>
          <w:szCs w:val="32"/>
          <w:lang w:eastAsia="zh-CN"/>
        </w:rPr>
        <w:t>持平</w:t>
      </w:r>
      <w:r>
        <w:rPr>
          <w:rFonts w:ascii="Times New Roman" w:eastAsia="仿宋_GB2312"/>
          <w:b w:val="0"/>
          <w:sz w:val="32"/>
          <w:szCs w:val="32"/>
        </w:rPr>
        <w:t>。</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pPr>
        <w:adjustRightInd w:val="0"/>
        <w:snapToGrid w:val="0"/>
        <w:spacing w:line="580" w:lineRule="exact"/>
        <w:ind w:firstLine="643" w:firstLineChars="200"/>
        <w:rPr>
          <w:rFonts w:ascii="Times New Roman" w:hAnsi="Times New Roman" w:eastAsia="仿宋_GB2312" w:cs="Times New Roman"/>
          <w:sz w:val="32"/>
          <w:szCs w:val="32"/>
        </w:rPr>
      </w:pPr>
      <w:r>
        <w:rPr>
          <w:rFonts w:ascii="Times New Roman" w:eastAsia="楷体_GB2312"/>
          <w:b/>
          <w:sz w:val="32"/>
          <w:szCs w:val="32"/>
        </w:rPr>
        <w:t> 1.因公出国（境）费支出情况。</w:t>
      </w:r>
      <w:r>
        <w:rPr>
          <w:rFonts w:ascii="Times New Roman" w:eastAsia="仿宋_GB2312"/>
          <w:b w:val="0"/>
          <w:sz w:val="32"/>
          <w:szCs w:val="32"/>
        </w:rPr>
        <w:t>本单位2024年度因公出国（境）费支出预算</w:t>
      </w:r>
      <w:r>
        <w:rPr>
          <w:rFonts w:hint="eastAsia" w:ascii="Times New Roman" w:eastAsia="仿宋_GB2312"/>
          <w:b w:val="0"/>
          <w:sz w:val="32"/>
          <w:szCs w:val="32"/>
          <w:lang w:val="en-US" w:eastAsia="zh-CN"/>
        </w:rPr>
        <w:t>0</w:t>
      </w:r>
      <w:r>
        <w:rPr>
          <w:rFonts w:ascii="Times New Roman" w:eastAsia="仿宋_GB2312"/>
          <w:b w:val="0"/>
          <w:sz w:val="32"/>
          <w:szCs w:val="32"/>
        </w:rPr>
        <w:t>万元,支出决算</w:t>
      </w:r>
      <w:r>
        <w:rPr>
          <w:rFonts w:hint="eastAsia" w:ascii="Times New Roman" w:eastAsia="仿宋_GB2312"/>
          <w:b w:val="0"/>
          <w:sz w:val="32"/>
          <w:szCs w:val="32"/>
          <w:lang w:val="en-US" w:eastAsia="zh-CN"/>
        </w:rPr>
        <w:t>0</w:t>
      </w:r>
      <w:r>
        <w:rPr>
          <w:rFonts w:ascii="Times New Roman" w:eastAsia="仿宋_GB2312"/>
          <w:b w:val="0"/>
          <w:sz w:val="32"/>
          <w:szCs w:val="32"/>
        </w:rPr>
        <w:t>万元</w:t>
      </w:r>
      <w:r>
        <w:rPr>
          <w:rFonts w:hint="eastAsia" w:ascii="Times New Roman" w:eastAsia="仿宋_GB2312"/>
          <w:b w:val="0"/>
          <w:sz w:val="32"/>
          <w:szCs w:val="32"/>
          <w:lang w:eastAsia="zh-CN"/>
        </w:rPr>
        <w:t>，与预算持平，与上年决算支出持平</w:t>
      </w:r>
      <w:r>
        <w:rPr>
          <w:rFonts w:ascii="Times New Roman" w:eastAsia="仿宋_GB2312"/>
          <w:b w:val="0"/>
          <w:sz w:val="32"/>
          <w:szCs w:val="32"/>
        </w:rPr>
        <w:t>。</w:t>
      </w:r>
      <w:r>
        <w:rPr>
          <w:rFonts w:ascii="Times New Roman" w:hAnsi="Times New Roman" w:eastAsia="仿宋_GB2312" w:cs="Times New Roman"/>
          <w:sz w:val="32"/>
          <w:szCs w:val="32"/>
        </w:rPr>
        <w:t>其中因公出国（境）团组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个、共</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人、参加其他单位组织的因公出国（境）团组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个、共</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hint="eastAsia" w:ascii="Times New Roman" w:eastAsia="仿宋_GB2312"/>
          <w:b w:val="0"/>
          <w:sz w:val="32"/>
          <w:szCs w:val="32"/>
          <w:lang w:val="en-US" w:eastAsia="zh-CN"/>
        </w:rPr>
        <w:t>，</w:t>
      </w:r>
      <w:r>
        <w:rPr>
          <w:rFonts w:ascii="Times New Roman" w:hAnsi="Times New Roman" w:eastAsia="仿宋_GB2312" w:cs="Times New Roman"/>
          <w:sz w:val="32"/>
          <w:szCs w:val="32"/>
        </w:rPr>
        <w:t>无本部门组织的出国（境）团组。</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 2.公务用车购置及运行维护费支出情况。</w:t>
      </w:r>
      <w:r>
        <w:rPr>
          <w:rFonts w:ascii="Times New Roman" w:eastAsia="仿宋_GB2312"/>
          <w:b w:val="0"/>
          <w:sz w:val="32"/>
          <w:szCs w:val="32"/>
        </w:rPr>
        <w:t>本单位2024年度公务用车购置及运行维护费预算</w:t>
      </w:r>
      <w:r>
        <w:rPr>
          <w:rFonts w:hint="eastAsia" w:ascii="Times New Roman" w:eastAsia="仿宋_GB2312"/>
          <w:b w:val="0"/>
          <w:sz w:val="32"/>
          <w:szCs w:val="32"/>
          <w:lang w:val="en-US" w:eastAsia="zh-CN"/>
        </w:rPr>
        <w:t>0</w:t>
      </w:r>
      <w:r>
        <w:rPr>
          <w:rFonts w:ascii="Times New Roman" w:eastAsia="仿宋_GB2312"/>
          <w:b w:val="0"/>
          <w:sz w:val="32"/>
          <w:szCs w:val="32"/>
        </w:rPr>
        <w:t>万元，支出决算</w:t>
      </w:r>
      <w:r>
        <w:rPr>
          <w:rFonts w:hint="eastAsia" w:ascii="Times New Roman" w:eastAsia="仿宋_GB2312"/>
          <w:b w:val="0"/>
          <w:sz w:val="32"/>
          <w:szCs w:val="32"/>
          <w:lang w:val="en-US" w:eastAsia="zh-CN"/>
        </w:rPr>
        <w:t>0</w:t>
      </w:r>
      <w:r>
        <w:rPr>
          <w:rFonts w:ascii="Times New Roman" w:eastAsia="仿宋_GB2312"/>
          <w:b w:val="0"/>
          <w:sz w:val="32"/>
          <w:szCs w:val="32"/>
        </w:rPr>
        <w:t>万元</w:t>
      </w:r>
      <w:r>
        <w:rPr>
          <w:rFonts w:hint="eastAsia" w:ascii="Times New Roman" w:eastAsia="仿宋_GB2312"/>
          <w:b w:val="0"/>
          <w:sz w:val="32"/>
          <w:szCs w:val="32"/>
          <w:lang w:eastAsia="zh-CN"/>
        </w:rPr>
        <w:t>，与预算持平</w:t>
      </w:r>
      <w:r>
        <w:rPr>
          <w:rFonts w:ascii="Times New Roman" w:eastAsia="仿宋_GB2312"/>
          <w:b w:val="0"/>
          <w:sz w:val="32"/>
          <w:szCs w:val="32"/>
        </w:rPr>
        <w:t>，</w:t>
      </w:r>
      <w:r>
        <w:rPr>
          <w:rFonts w:hint="eastAsia" w:ascii="Times New Roman" w:eastAsia="仿宋_GB2312"/>
          <w:b w:val="0"/>
          <w:sz w:val="32"/>
          <w:szCs w:val="32"/>
          <w:lang w:eastAsia="zh-CN"/>
        </w:rPr>
        <w:t>与上年决算支出持平</w:t>
      </w:r>
      <w:r>
        <w:rPr>
          <w:rFonts w:ascii="Times New Roman" w:eastAsia="仿宋_GB2312"/>
          <w:b w:val="0"/>
          <w:sz w:val="32"/>
          <w:szCs w:val="32"/>
        </w:rPr>
        <w:t>。其中：</w:t>
      </w:r>
    </w:p>
    <w:p>
      <w:pPr>
        <w:adjustRightInd w:val="0"/>
        <w:snapToGrid w:val="0"/>
        <w:spacing w:line="580" w:lineRule="exact"/>
        <w:ind w:firstLine="643" w:firstLineChars="200"/>
        <w:rPr>
          <w:rFonts w:ascii="Times New Roman" w:hAnsi="Times New Roman" w:eastAsia="仿宋_GB2312" w:cs="Times New Roman"/>
          <w:sz w:val="32"/>
          <w:szCs w:val="32"/>
        </w:rPr>
      </w:pPr>
      <w:r>
        <w:rPr>
          <w:rFonts w:ascii="Times New Roman" w:eastAsia="仿宋_GB2312"/>
          <w:b/>
          <w:sz w:val="32"/>
          <w:szCs w:val="32"/>
        </w:rPr>
        <w:t>公务用车购置费支出</w:t>
      </w:r>
      <w:r>
        <w:rPr>
          <w:rFonts w:hint="eastAsia" w:ascii="Times New Roman" w:eastAsia="仿宋_GB2312"/>
          <w:b/>
          <w:sz w:val="32"/>
          <w:szCs w:val="32"/>
          <w:lang w:val="en-US" w:eastAsia="zh-CN"/>
        </w:rPr>
        <w:t>0</w:t>
      </w:r>
      <w:r>
        <w:rPr>
          <w:rFonts w:ascii="Times New Roman" w:eastAsia="仿宋_GB2312"/>
          <w:b/>
          <w:sz w:val="32"/>
          <w:szCs w:val="32"/>
        </w:rPr>
        <w:t>万元</w:t>
      </w:r>
      <w:r>
        <w:rPr>
          <w:rFonts w:hint="eastAsia" w:ascii="Times New Roman" w:eastAsia="仿宋_GB2312"/>
          <w:b/>
          <w:sz w:val="32"/>
          <w:szCs w:val="32"/>
          <w:lang w:eastAsia="zh-CN"/>
        </w:rPr>
        <w:t>；</w:t>
      </w: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2024年度公务用车购置量</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辆，发生“公务用车购置”经费支出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元。公务用车购置费支出</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预算</w:t>
      </w:r>
      <w:r>
        <w:rPr>
          <w:rFonts w:hint="eastAsia" w:ascii="Times New Roman" w:hAnsi="Times New Roman" w:eastAsia="仿宋_GB2312" w:cs="Times New Roman"/>
          <w:sz w:val="32"/>
          <w:szCs w:val="32"/>
          <w:lang w:eastAsia="zh-CN"/>
        </w:rPr>
        <w:t>持平，与上年决算支出持平</w:t>
      </w:r>
      <w:r>
        <w:rPr>
          <w:rFonts w:ascii="Times New Roman" w:hAnsi="Times New Roman" w:eastAsia="仿宋_GB2312" w:cs="Times New Roman"/>
          <w:sz w:val="32"/>
          <w:szCs w:val="32"/>
        </w:rPr>
        <w:t>。</w:t>
      </w:r>
    </w:p>
    <w:p>
      <w:pPr>
        <w:adjustRightInd w:val="0"/>
        <w:snapToGrid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公务用车运行维护费支出</w:t>
      </w:r>
      <w:r>
        <w:rPr>
          <w:rFonts w:hint="eastAsia" w:ascii="Times New Roman" w:hAnsi="Times New Roman" w:eastAsia="仿宋_GB2312" w:cs="Times New Roman"/>
          <w:b/>
          <w:sz w:val="32"/>
          <w:szCs w:val="32"/>
          <w:lang w:val="en-US" w:eastAsia="zh-CN"/>
        </w:rPr>
        <w:t>0</w:t>
      </w:r>
      <w:r>
        <w:rPr>
          <w:rFonts w:ascii="Times New Roman" w:hAnsi="Times New Roman" w:eastAsia="楷体_GB2312" w:cs="Times New Roman"/>
          <w:b/>
          <w:bCs/>
          <w:sz w:val="32"/>
          <w:szCs w:val="32"/>
        </w:rPr>
        <w:t>万元</w:t>
      </w:r>
      <w:r>
        <w:rPr>
          <w:rFonts w:ascii="Times New Roman" w:hAnsi="Times New Roman" w:eastAsia="仿宋_GB2312" w:cs="Times New Roman"/>
          <w:b/>
          <w:sz w:val="32"/>
          <w:szCs w:val="32"/>
        </w:rPr>
        <w:t>：</w:t>
      </w: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2024年度单位财政开支公务用车保有量</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辆。公车运行维护费支出</w:t>
      </w:r>
      <w:r>
        <w:rPr>
          <w:rFonts w:hint="eastAsia" w:ascii="Times New Roman" w:hAnsi="Times New Roman" w:eastAsia="仿宋_GB2312" w:cs="Times New Roman"/>
          <w:sz w:val="32"/>
          <w:szCs w:val="32"/>
          <w:lang w:val="en-US" w:eastAsia="zh-CN"/>
        </w:rPr>
        <w:t>0万元，</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预算</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上年</w:t>
      </w:r>
      <w:r>
        <w:rPr>
          <w:rFonts w:hint="eastAsia" w:ascii="Times New Roman" w:hAnsi="Times New Roman" w:eastAsia="仿宋_GB2312" w:cs="Times New Roman"/>
          <w:sz w:val="32"/>
          <w:szCs w:val="32"/>
          <w:lang w:eastAsia="zh-CN"/>
        </w:rPr>
        <w:t>决算支出持平</w:t>
      </w:r>
      <w:r>
        <w:rPr>
          <w:rFonts w:ascii="Times New Roman" w:hAnsi="Times New Roman" w:eastAsia="仿宋_GB2312" w:cs="Times New Roman"/>
          <w:sz w:val="32"/>
          <w:szCs w:val="32"/>
        </w:rPr>
        <w:t>。</w:t>
      </w:r>
    </w:p>
    <w:p>
      <w:pPr>
        <w:adjustRightInd w:val="0"/>
        <w:snapToGrid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3.公务接待费支出情况。</w:t>
      </w: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2024年度公务接待费支出预算为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元，支出决算</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%。公务接待费支出较预算减少</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减少的原因是公务接待费未支出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与上年度决算支出</w:t>
      </w:r>
      <w:r>
        <w:rPr>
          <w:rFonts w:hint="eastAsia" w:ascii="Times New Roman" w:hAnsi="Times New Roman" w:eastAsia="仿宋_GB2312" w:cs="Times New Roman"/>
          <w:sz w:val="32"/>
          <w:szCs w:val="32"/>
          <w:lang w:val="en-US" w:eastAsia="zh-CN"/>
        </w:rPr>
        <w:t>0万元持平</w:t>
      </w:r>
      <w:r>
        <w:rPr>
          <w:rFonts w:ascii="Times New Roman" w:hAnsi="Times New Roman" w:eastAsia="仿宋_GB2312" w:cs="Times New Roman"/>
          <w:sz w:val="32"/>
          <w:szCs w:val="32"/>
        </w:rPr>
        <w:t>。</w:t>
      </w:r>
      <w:r>
        <w:rPr>
          <w:rFonts w:ascii="Times New Roman" w:hAnsi="Times New Roman" w:eastAsia="仿宋_GB2312" w:cs="Times New Roman"/>
          <w:sz w:val="32"/>
          <w:szCs w:val="32"/>
        </w:rPr>
        <w:t>本年度共发生公务接待</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批次、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w:t>
      </w:r>
      <w:r>
        <w:rPr>
          <w:rFonts w:hint="eastAsia" w:ascii="Times New Roman" w:eastAsia="仿宋_GB2312"/>
          <w:b w:val="0"/>
          <w:sz w:val="32"/>
          <w:szCs w:val="32"/>
          <w:lang w:eastAsia="zh-CN"/>
        </w:rPr>
        <w:t>非行政、非参照公务员管理的事业单位，故无机关运行经费支出。</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w:t>
      </w:r>
      <w:r>
        <w:rPr>
          <w:rFonts w:hint="eastAsia" w:ascii="Times New Roman" w:eastAsia="仿宋_GB2312"/>
          <w:b w:val="0"/>
          <w:sz w:val="32"/>
          <w:szCs w:val="32"/>
          <w:lang w:eastAsia="zh-CN"/>
        </w:rPr>
        <w:t>无</w:t>
      </w:r>
      <w:r>
        <w:rPr>
          <w:rFonts w:ascii="Times New Roman" w:eastAsia="仿宋_GB2312"/>
          <w:b w:val="0"/>
          <w:sz w:val="32"/>
          <w:szCs w:val="32"/>
        </w:rPr>
        <w:t>政府采购支出。</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截至2024年12月31日，本单位</w:t>
      </w:r>
      <w:r>
        <w:rPr>
          <w:rFonts w:hint="eastAsia" w:ascii="Times New Roman" w:eastAsia="仿宋_GB2312"/>
          <w:b w:val="0"/>
          <w:sz w:val="32"/>
          <w:szCs w:val="32"/>
          <w:lang w:eastAsia="zh-CN"/>
        </w:rPr>
        <w:t>国有资产为</w:t>
      </w:r>
      <w:r>
        <w:rPr>
          <w:rFonts w:hint="eastAsia" w:ascii="Times New Roman" w:eastAsia="仿宋_GB2312"/>
          <w:b w:val="0"/>
          <w:sz w:val="32"/>
          <w:szCs w:val="32"/>
          <w:lang w:val="en-US" w:eastAsia="zh-CN"/>
        </w:rPr>
        <w:t>0万元</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hint="eastAsia" w:ascii="Times New Roman" w:eastAsia="仿宋_GB2312"/>
          <w:b w:val="0"/>
          <w:sz w:val="32"/>
          <w:szCs w:val="32"/>
          <w:lang w:eastAsia="zh-CN"/>
        </w:rPr>
        <w:t>本单位</w:t>
      </w:r>
      <w:r>
        <w:rPr>
          <w:rFonts w:hint="eastAsia" w:ascii="Times New Roman" w:eastAsia="仿宋_GB2312"/>
          <w:b w:val="0"/>
          <w:sz w:val="32"/>
          <w:szCs w:val="32"/>
          <w:lang w:val="en-US" w:eastAsia="zh-CN"/>
        </w:rPr>
        <w:t>2024年度无预算项目，无绩效评价</w:t>
      </w:r>
      <w:r>
        <w:rPr>
          <w:rFonts w:ascii="Times New Roman" w:eastAsia="仿宋_GB2312"/>
          <w:b w:val="0"/>
          <w:sz w:val="32"/>
          <w:szCs w:val="32"/>
        </w:rPr>
        <w:t>。</w:t>
      </w:r>
      <w:bookmarkStart w:id="0" w:name="_GoBack"/>
      <w:bookmarkEnd w:id="0"/>
    </w:p>
    <w:p>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1.本单位2024年度政府性基金预算财政拨款收入支出决算表（公开07表）、国有资本经营预算财政拨款支出决算表（公开08表）、财政拨款“三公”经费支出决算表（公开09表）无相应收支，故空表列示。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由于决算公开表格中金额数值应当保留两位小数，公开数据为四舍五入计算结果，个别数据合计项与分项之和存在小数点后差额，特此说明。</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   名词解释</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b w:val="0"/>
          <w:sz w:val="32"/>
          <w:szCs w:val="32"/>
        </w:rPr>
        <w:t>指事业单位在专业业务活动及其辅助活动之外开展非独立核算经营活动发生的支出。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B06899C-3072-435D-83F2-B428E28FD387}"/>
  </w:font>
  <w:font w:name="黑体">
    <w:panose1 w:val="02010609060101010101"/>
    <w:charset w:val="86"/>
    <w:family w:val="auto"/>
    <w:pitch w:val="default"/>
    <w:sig w:usb0="800002BF" w:usb1="38CF7CFA" w:usb2="00000016" w:usb3="00000000" w:csb0="00040001" w:csb1="00000000"/>
    <w:embedRegular r:id="rId2" w:fontKey="{3A94FB5E-A96B-40BC-93F9-F37C3CD7BEA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FEF516E7-3135-446E-AE05-80518C07A8BA}"/>
  </w:font>
  <w:font w:name="仿宋">
    <w:panose1 w:val="02010609060101010101"/>
    <w:charset w:val="86"/>
    <w:family w:val="modern"/>
    <w:pitch w:val="default"/>
    <w:sig w:usb0="800002BF" w:usb1="38CF7CFA" w:usb2="00000016" w:usb3="00000000" w:csb0="00040001" w:csb1="00000000"/>
    <w:embedRegular r:id="rId4" w:fontKey="{9CE2378D-8360-4E15-A38C-FC09D72E1C25}"/>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embedRegular r:id="rId5" w:fontKey="{B6203842-CF27-4F37-8598-15A708EC1FF4}"/>
  </w:font>
  <w:font w:name="方正小标宋_GBK">
    <w:panose1 w:val="02000000000000000000"/>
    <w:charset w:val="86"/>
    <w:family w:val="script"/>
    <w:pitch w:val="default"/>
    <w:sig w:usb0="00000000" w:usb1="00000000" w:usb2="00000000" w:usb3="00000000" w:csb0="00000000" w:csb1="00000000"/>
    <w:embedRegular r:id="rId6" w:fontKey="{AEF26755-568E-49D2-B61F-909B1530F5E6}"/>
  </w:font>
  <w:font w:name="仿宋_GB2312">
    <w:panose1 w:val="02010609030101010101"/>
    <w:charset w:val="86"/>
    <w:family w:val="auto"/>
    <w:pitch w:val="default"/>
    <w:sig w:usb0="00000001" w:usb1="080E0000" w:usb2="00000000" w:usb3="00000000" w:csb0="00040000" w:csb1="00000000"/>
    <w:embedRegular r:id="rId7" w:fontKey="{2F69BBC3-B107-46DB-A963-289494A57EF8}"/>
  </w:font>
  <w:font w:name="ArialUnicodeMS">
    <w:altName w:val="Malgun Gothic"/>
    <w:panose1 w:val="00000000000000000000"/>
    <w:charset w:val="81"/>
    <w:family w:val="auto"/>
    <w:pitch w:val="default"/>
    <w:sig w:usb0="00000000" w:usb1="00000000" w:usb2="00000010" w:usb3="00000000" w:csb0="00080001" w:csb1="00000000"/>
    <w:embedRegular r:id="rId8" w:fontKey="{137BE1FF-13BA-4E0F-841D-A3E45FBE03AF}"/>
  </w:font>
  <w:font w:name="方正仿宋_GB2312">
    <w:altName w:val="仿宋"/>
    <w:panose1 w:val="02000000000000000000"/>
    <w:charset w:val="86"/>
    <w:family w:val="auto"/>
    <w:pitch w:val="default"/>
    <w:sig w:usb0="00000000" w:usb1="00000000" w:usb2="00000012" w:usb3="00000000" w:csb0="00040001" w:csb1="00000000"/>
    <w:embedRegular r:id="rId9" w:fontKey="{DDEA1AC9-1529-4670-B4D0-8BBEEBDE846C}"/>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7A05"/>
    <w:multiLevelType w:val="singleLevel"/>
    <w:tmpl w:val="04127A05"/>
    <w:lvl w:ilvl="0" w:tentative="0">
      <w:start w:val="1"/>
      <w:numFmt w:val="decimal"/>
      <w:suff w:val="space"/>
      <w:lvlText w:val="%1."/>
      <w:lvlJc w:val="left"/>
    </w:lvl>
  </w:abstractNum>
  <w:abstractNum w:abstractNumId="1">
    <w:nsid w:val="1C0F7F4B"/>
    <w:multiLevelType w:val="singleLevel"/>
    <w:tmpl w:val="1C0F7F4B"/>
    <w:lvl w:ilvl="0" w:tentative="0">
      <w:start w:val="1"/>
      <w:numFmt w:val="decimal"/>
      <w:suff w:val="space"/>
      <w:lvlText w:val="%1."/>
      <w:lvlJc w:val="left"/>
    </w:lvl>
  </w:abstractNum>
  <w:abstractNum w:abstractNumId="2">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6B5444"/>
    <w:rsid w:val="0E866524"/>
    <w:rsid w:val="0E9268D3"/>
    <w:rsid w:val="0E957F1F"/>
    <w:rsid w:val="0F0E7284"/>
    <w:rsid w:val="0F28110F"/>
    <w:rsid w:val="0F37083F"/>
    <w:rsid w:val="0F7470AF"/>
    <w:rsid w:val="0F891DB8"/>
    <w:rsid w:val="0F8D3287"/>
    <w:rsid w:val="0FAA3B86"/>
    <w:rsid w:val="10191346"/>
    <w:rsid w:val="102A01A6"/>
    <w:rsid w:val="103375B9"/>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17046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1FF60845"/>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7B5570C"/>
    <w:rsid w:val="280A3758"/>
    <w:rsid w:val="28292E99"/>
    <w:rsid w:val="289057C5"/>
    <w:rsid w:val="28A67C7A"/>
    <w:rsid w:val="28DC7F0B"/>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DE24436"/>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0EA02D6"/>
    <w:rsid w:val="31356AA5"/>
    <w:rsid w:val="313E22F0"/>
    <w:rsid w:val="31B0194C"/>
    <w:rsid w:val="31CE17D1"/>
    <w:rsid w:val="321E4B5A"/>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4D7DF5"/>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0D2C74"/>
    <w:rsid w:val="5448624E"/>
    <w:rsid w:val="546E2B1A"/>
    <w:rsid w:val="5482555F"/>
    <w:rsid w:val="54A31DD8"/>
    <w:rsid w:val="54AA6F8B"/>
    <w:rsid w:val="54D26583"/>
    <w:rsid w:val="55363E67"/>
    <w:rsid w:val="556E6DF7"/>
    <w:rsid w:val="55965CE3"/>
    <w:rsid w:val="559D47CE"/>
    <w:rsid w:val="55BE1959"/>
    <w:rsid w:val="55D53FCC"/>
    <w:rsid w:val="55F47CCB"/>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0E12C3"/>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4B1BAA"/>
    <w:rsid w:val="65610A02"/>
    <w:rsid w:val="65A11EA3"/>
    <w:rsid w:val="65AC3D66"/>
    <w:rsid w:val="65BB5334"/>
    <w:rsid w:val="663E1DBA"/>
    <w:rsid w:val="665D0213"/>
    <w:rsid w:val="668506C7"/>
    <w:rsid w:val="669E59F1"/>
    <w:rsid w:val="66A2024B"/>
    <w:rsid w:val="66CB5E2D"/>
    <w:rsid w:val="6704732B"/>
    <w:rsid w:val="670F6731"/>
    <w:rsid w:val="67585CB0"/>
    <w:rsid w:val="67770F0C"/>
    <w:rsid w:val="678E5A23"/>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8E331A"/>
    <w:rsid w:val="7396335C"/>
    <w:rsid w:val="73CA3210"/>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DE1080"/>
    <w:rsid w:val="7AE10264"/>
    <w:rsid w:val="7AE4248E"/>
    <w:rsid w:val="7B4A207F"/>
    <w:rsid w:val="7B936F45"/>
    <w:rsid w:val="7BA47419"/>
    <w:rsid w:val="7BB10D45"/>
    <w:rsid w:val="7BB44151"/>
    <w:rsid w:val="7C536E59"/>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339.38</c:v>
                </c:pt>
                <c:pt idx="1">
                  <c:v>337.74</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3377361.36</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3377361.36</c:v>
                </c:pt>
                <c:pt idx="1">
                  <c:v>0</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339.38</c:v>
                </c:pt>
                <c:pt idx="1">
                  <c:v>339.38</c:v>
                </c:pt>
                <c:pt idx="2">
                  <c:v>339.38</c:v>
                </c:pt>
                <c:pt idx="3">
                  <c:v>339.38</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337.74</c:v>
                </c:pt>
                <c:pt idx="1">
                  <c:v>337.74</c:v>
                </c:pt>
                <c:pt idx="2">
                  <c:v>337.74</c:v>
                </c:pt>
                <c:pt idx="3">
                  <c:v>337.74</c:v>
                </c:pt>
                <c:pt idx="4">
                  <c:v>0</c:v>
                </c:pt>
                <c:pt idx="5">
                  <c:v>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398.18</c:v>
                </c:pt>
                <c:pt idx="1">
                  <c:v>398.18</c:v>
                </c:pt>
                <c:pt idx="2">
                  <c:v>398.18</c:v>
                </c:pt>
                <c:pt idx="3">
                  <c:v>398.18</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337.74</c:v>
                </c:pt>
                <c:pt idx="1">
                  <c:v>337.74</c:v>
                </c:pt>
                <c:pt idx="2">
                  <c:v>337.74</c:v>
                </c:pt>
                <c:pt idx="3">
                  <c:v>337.74</c:v>
                </c:pt>
                <c:pt idx="4">
                  <c:v>0</c:v>
                </c:pt>
                <c:pt idx="5">
                  <c:v>0</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236.53</c:v>
                </c:pt>
                <c:pt idx="1">
                  <c:v>0</c:v>
                </c:pt>
                <c:pt idx="2">
                  <c:v>0</c:v>
                </c:pt>
                <c:pt idx="3">
                  <c:v>0</c:v>
                </c:pt>
                <c:pt idx="4">
                  <c:v>0</c:v>
                </c:pt>
                <c:pt idx="5">
                  <c:v>0</c:v>
                </c:pt>
                <c:pt idx="6">
                  <c:v>0</c:v>
                </c:pt>
                <c:pt idx="7">
                  <c:v>54.75</c:v>
                </c:pt>
                <c:pt idx="8">
                  <c:v>22.72</c:v>
                </c:pt>
                <c:pt idx="9">
                  <c:v>0</c:v>
                </c:pt>
                <c:pt idx="10">
                  <c:v>0</c:v>
                </c:pt>
                <c:pt idx="11">
                  <c:v>0</c:v>
                </c:pt>
                <c:pt idx="12">
                  <c:v>0</c:v>
                </c:pt>
                <c:pt idx="13">
                  <c:v>0</c:v>
                </c:pt>
                <c:pt idx="14">
                  <c:v>0</c:v>
                </c:pt>
                <c:pt idx="15">
                  <c:v>0</c:v>
                </c:pt>
                <c:pt idx="16">
                  <c:v>0</c:v>
                </c:pt>
                <c:pt idx="17">
                  <c:v>0</c:v>
                </c:pt>
                <c:pt idx="18">
                  <c:v>23.74</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25</Pages>
  <Words>611</Words>
  <Characters>2169</Characters>
  <Lines>86</Lines>
  <Paragraphs>24</Paragraphs>
  <TotalTime>0</TotalTime>
  <ScaleCrop>false</ScaleCrop>
  <LinksUpToDate>false</LinksUpToDate>
  <CharactersWithSpaces>2170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Administrator</cp:lastModifiedBy>
  <cp:lastPrinted>2023-08-04T01:00:00Z</cp:lastPrinted>
  <dcterms:modified xsi:type="dcterms:W3CDTF">2025-10-13T07:00:08Z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9ADBA6634D174E53B519D79DC18ACFE9</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