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秦皇岛经济技术开发区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中央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财政衔接推进乡村振兴补助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资金项目竣工验收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公告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1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年，我区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投入中央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财政衔接推进乡村振兴补助资金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万元用于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太和寨村集体经济门市房建设项目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目前，项目已完工并通过验收，现将项目实施及验收情况进行公示，公示期为10天（202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日）。如对结果有异议,请在公示期内向以下部门提出意见。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878" w:leftChars="304" w:right="0" w:hanging="2240" w:hangingChars="7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投诉监督单位: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秦皇岛经济技术开发区工委农村工作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领导小组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投诉监督地址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秦皇岛开发区腾飞路8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联系电话:0335-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8017915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省级监督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电话：12317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或12345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kfqfpb8019729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@163.com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附件: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秦皇岛经济技术开发区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中央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财政衔接推进乡村振兴补助资金项目竣工验收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10" w:lineRule="atLeast"/>
        <w:ind w:left="0" w:right="0"/>
        <w:rPr>
          <w:rFonts w:hint="eastAsia" w:ascii="仿宋" w:hAnsi="仿宋" w:eastAsia="仿宋" w:cs="仿宋"/>
          <w:i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10" w:lineRule="atLeast"/>
        <w:ind w:left="0" w:right="0"/>
        <w:rPr>
          <w:rFonts w:hint="eastAsia" w:ascii="仿宋" w:hAnsi="仿宋" w:eastAsia="仿宋" w:cs="仿宋"/>
          <w:i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10" w:lineRule="atLeast"/>
        <w:ind w:left="0" w:right="0"/>
        <w:jc w:val="distribute"/>
        <w:rPr>
          <w:rFonts w:hint="eastAsia" w:ascii="仿宋" w:hAnsi="仿宋" w:eastAsia="仿宋" w:cs="仿宋"/>
          <w:i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秦皇岛经济技术开发区工委农村工作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领导小组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10" w:lineRule="atLeast"/>
        <w:ind w:left="0" w:right="0"/>
        <w:jc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10" w:lineRule="atLeast"/>
        <w:ind w:left="0" w:right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10" w:lineRule="atLeast"/>
        <w:ind w:left="0" w:right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sectPr>
          <w:pgSz w:w="11906" w:h="16838"/>
          <w:pgMar w:top="1440" w:right="1474" w:bottom="1440" w:left="1587" w:header="851" w:footer="992" w:gutter="0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1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t>秦皇岛经济技术开发区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eastAsia="zh-CN"/>
        </w:rPr>
        <w:t>中央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财政衔接推进乡村振兴补助资金项目竣工验收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eastAsia="zh-CN"/>
        </w:rPr>
        <w:t>表</w:t>
      </w:r>
    </w:p>
    <w:tbl>
      <w:tblPr>
        <w:tblStyle w:val="8"/>
        <w:tblW w:w="14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37"/>
        <w:gridCol w:w="844"/>
        <w:gridCol w:w="2200"/>
        <w:gridCol w:w="842"/>
        <w:gridCol w:w="1383"/>
        <w:gridCol w:w="960"/>
        <w:gridCol w:w="1302"/>
        <w:gridCol w:w="1413"/>
        <w:gridCol w:w="1401"/>
        <w:gridCol w:w="13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</w:t>
            </w:r>
          </w:p>
        </w:tc>
        <w:tc>
          <w:tcPr>
            <w:tcW w:w="8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2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84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项目实施结果</w:t>
            </w:r>
          </w:p>
        </w:tc>
        <w:tc>
          <w:tcPr>
            <w:tcW w:w="138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项目完工时间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项目检查验收结果</w:t>
            </w:r>
          </w:p>
        </w:tc>
        <w:tc>
          <w:tcPr>
            <w:tcW w:w="130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项目实际投资（万元）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资金来源及规模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（万元）</w:t>
            </w:r>
          </w:p>
        </w:tc>
        <w:tc>
          <w:tcPr>
            <w:tcW w:w="140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项目绩效目标实现情况</w:t>
            </w:r>
          </w:p>
        </w:tc>
        <w:tc>
          <w:tcPr>
            <w:tcW w:w="13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建设单位及责任人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监管单位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</w:trPr>
        <w:tc>
          <w:tcPr>
            <w:tcW w:w="6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秦皇岛经济技术开发区</w:t>
            </w:r>
          </w:p>
        </w:tc>
        <w:tc>
          <w:tcPr>
            <w:tcW w:w="8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太和寨村集体经济门市房建设项目</w:t>
            </w:r>
          </w:p>
        </w:tc>
        <w:tc>
          <w:tcPr>
            <w:tcW w:w="22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-2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投入中央财政衔接资金50万元，村级自筹资金4.8429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-2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万元，利用村委会老旧房屋，翻修改建成临街门市房约400平米，建成后用于出租获取租金或村委会代为经营等方式获取收益。</w:t>
            </w:r>
          </w:p>
        </w:tc>
        <w:tc>
          <w:tcPr>
            <w:tcW w:w="84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</w:tc>
        <w:tc>
          <w:tcPr>
            <w:tcW w:w="138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2025.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10.17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30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54.8429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-2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结算评审价54.8429万元，资金来源包括：中央衔接资金50万元、村级自筹资金4.8429万元。</w:t>
            </w:r>
          </w:p>
        </w:tc>
        <w:tc>
          <w:tcPr>
            <w:tcW w:w="140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-2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利用村委会老旧房屋翻修改建成临街门市房，对外出租收取租金，壮大了村集体经济。</w:t>
            </w:r>
          </w:p>
        </w:tc>
        <w:tc>
          <w:tcPr>
            <w:tcW w:w="13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太和寨村村委会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周宏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社会发展局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10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3CBF"/>
    <w:rsid w:val="042F236B"/>
    <w:rsid w:val="07DB2A5B"/>
    <w:rsid w:val="0A2A3BD0"/>
    <w:rsid w:val="0AB35C2F"/>
    <w:rsid w:val="0C7B2D6F"/>
    <w:rsid w:val="11643698"/>
    <w:rsid w:val="16A906EB"/>
    <w:rsid w:val="1B9B0012"/>
    <w:rsid w:val="1CCE5BCA"/>
    <w:rsid w:val="1E90222F"/>
    <w:rsid w:val="1F1D6F60"/>
    <w:rsid w:val="21D23F85"/>
    <w:rsid w:val="220A0880"/>
    <w:rsid w:val="246B14E0"/>
    <w:rsid w:val="2491442E"/>
    <w:rsid w:val="27A95222"/>
    <w:rsid w:val="29833C5F"/>
    <w:rsid w:val="39E2705C"/>
    <w:rsid w:val="3D4358D5"/>
    <w:rsid w:val="3DA07621"/>
    <w:rsid w:val="439B5E9D"/>
    <w:rsid w:val="457B33BC"/>
    <w:rsid w:val="5316508E"/>
    <w:rsid w:val="5CE73839"/>
    <w:rsid w:val="5EDA2700"/>
    <w:rsid w:val="62477956"/>
    <w:rsid w:val="66CB7C91"/>
    <w:rsid w:val="6BFE44B9"/>
    <w:rsid w:val="6E596E27"/>
    <w:rsid w:val="70BE5614"/>
    <w:rsid w:val="71F15DA2"/>
    <w:rsid w:val="73910128"/>
    <w:rsid w:val="7A1A3B5C"/>
    <w:rsid w:val="7BC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2022-06-14T03:01:00Z</dcterms:created>
  <dc:creator>Administrator</dc:creator>
  <cp:lastModifiedBy>翁利如</cp:lastModifiedBy>
  <cp:lastPrinted>2025-10-29T03:41:12Z</cp:lastPrinted>
  <dcterms:modified xsi:type="dcterms:W3CDTF">2025-10-29T06:22:50Z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7DFF44AF0E574FCAA5139ACD96A96667</vt:lpwstr>
  </property>
</Properties>
</file>